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846A" w14:textId="77777777" w:rsidR="00B327A3" w:rsidRDefault="008D1285" w:rsidP="0D57D804">
      <w:pPr>
        <w:pStyle w:val="Title"/>
        <w:rPr>
          <w:rFonts w:eastAsia="Times New Roman"/>
        </w:rPr>
      </w:pPr>
      <w:r>
        <w:t>An Investigation into Response Rates in Student Evaluation of Teaching</w:t>
      </w:r>
    </w:p>
    <w:p w14:paraId="5360137A" w14:textId="0A245A2A" w:rsidR="008D1285" w:rsidRDefault="008D1285" w:rsidP="0D57D804">
      <w:pPr>
        <w:pStyle w:val="Heading2"/>
      </w:pPr>
      <w:r>
        <w:t>By Reni Gresham, Hamid Siddiqui, and Laura Woodward</w:t>
      </w:r>
    </w:p>
    <w:p w14:paraId="0C38C0E1" w14:textId="08BCC078" w:rsidR="5D1799CA" w:rsidRPr="00641F1C" w:rsidRDefault="00641F1C" w:rsidP="00641F1C">
      <w:pPr>
        <w:rPr>
          <w:color w:val="5B9BD5" w:themeColor="accent5"/>
          <w:sz w:val="26"/>
          <w:szCs w:val="26"/>
        </w:rPr>
      </w:pPr>
      <w:r w:rsidRPr="00641F1C">
        <w:rPr>
          <w:color w:val="5B9BD5" w:themeColor="accent5"/>
          <w:sz w:val="26"/>
          <w:szCs w:val="26"/>
        </w:rPr>
        <w:t>12/7/21</w:t>
      </w:r>
    </w:p>
    <w:p w14:paraId="672A6659" w14:textId="77777777" w:rsidR="008D1285" w:rsidRDefault="008D1285" w:rsidP="009B6FE9">
      <w:pPr>
        <w:spacing w:after="0" w:line="240" w:lineRule="auto"/>
        <w:rPr>
          <w:rFonts w:ascii="Calibri" w:eastAsia="Times New Roman" w:hAnsi="Calibri" w:cs="Calibri"/>
          <w:color w:val="000000"/>
          <w:sz w:val="24"/>
          <w:szCs w:val="24"/>
        </w:rPr>
      </w:pPr>
    </w:p>
    <w:p w14:paraId="0DFC5244" w14:textId="5BA0EAC2" w:rsidR="002F36B4" w:rsidRDefault="002F36B4" w:rsidP="009B6FE9">
      <w:pPr>
        <w:spacing w:after="0" w:line="240" w:lineRule="auto"/>
        <w:rPr>
          <w:rFonts w:ascii="Calibri" w:eastAsia="Times New Roman" w:hAnsi="Calibri" w:cs="Calibri"/>
          <w:color w:val="000000" w:themeColor="text1"/>
          <w:sz w:val="24"/>
          <w:szCs w:val="24"/>
        </w:rPr>
      </w:pPr>
      <w:r w:rsidRPr="25E99502">
        <w:rPr>
          <w:rFonts w:ascii="Calibri" w:eastAsia="Times New Roman" w:hAnsi="Calibri" w:cs="Calibri"/>
          <w:color w:val="000000" w:themeColor="text1"/>
          <w:sz w:val="24"/>
          <w:szCs w:val="24"/>
        </w:rPr>
        <w:t>For Student Evaluation of Teaching</w:t>
      </w:r>
      <w:r w:rsidR="008D1285" w:rsidRPr="25E99502">
        <w:rPr>
          <w:rFonts w:ascii="Calibri" w:eastAsia="Times New Roman" w:hAnsi="Calibri" w:cs="Calibri"/>
          <w:color w:val="000000" w:themeColor="text1"/>
          <w:sz w:val="24"/>
          <w:szCs w:val="24"/>
        </w:rPr>
        <w:t xml:space="preserve"> (SET)</w:t>
      </w:r>
      <w:r w:rsidRPr="25E99502">
        <w:rPr>
          <w:rFonts w:ascii="Calibri" w:eastAsia="Times New Roman" w:hAnsi="Calibri" w:cs="Calibri"/>
          <w:color w:val="000000" w:themeColor="text1"/>
          <w:sz w:val="24"/>
          <w:szCs w:val="24"/>
        </w:rPr>
        <w:t xml:space="preserve"> to be accurate in describing student experiences of </w:t>
      </w:r>
      <w:bookmarkStart w:id="0" w:name="_GoBack"/>
      <w:bookmarkEnd w:id="0"/>
      <w:r w:rsidRPr="25E99502">
        <w:rPr>
          <w:rFonts w:ascii="Calibri" w:eastAsia="Times New Roman" w:hAnsi="Calibri" w:cs="Calibri"/>
          <w:color w:val="000000" w:themeColor="text1"/>
          <w:sz w:val="24"/>
          <w:szCs w:val="24"/>
        </w:rPr>
        <w:t xml:space="preserve">coursework with different faculty members, it is important for participation levels to be high. High levels of participation help to improve the reliability of the measure and better reflect the average experience of students. </w:t>
      </w:r>
    </w:p>
    <w:p w14:paraId="475AF85B" w14:textId="77777777" w:rsidR="009B6FE9" w:rsidRDefault="009B6FE9" w:rsidP="009B6FE9">
      <w:pPr>
        <w:spacing w:after="0" w:line="240" w:lineRule="auto"/>
        <w:rPr>
          <w:rFonts w:ascii="Calibri" w:eastAsia="Times New Roman" w:hAnsi="Calibri" w:cs="Calibri"/>
          <w:color w:val="000000"/>
          <w:sz w:val="24"/>
          <w:szCs w:val="24"/>
        </w:rPr>
      </w:pPr>
    </w:p>
    <w:p w14:paraId="052FD826" w14:textId="776DAC7E" w:rsidR="0BF47F9E" w:rsidRDefault="00641F1C" w:rsidP="25E99502">
      <w:pPr>
        <w:rPr>
          <w:rFonts w:ascii="Calibri" w:eastAsia="Times New Roman" w:hAnsi="Calibri" w:cs="Calibri"/>
          <w:color w:val="000000" w:themeColor="text1"/>
          <w:sz w:val="24"/>
          <w:szCs w:val="24"/>
        </w:rPr>
      </w:pPr>
      <w:r>
        <w:rPr>
          <w:noProof/>
        </w:rPr>
        <w:drawing>
          <wp:anchor distT="0" distB="0" distL="114300" distR="114300" simplePos="0" relativeHeight="251658240" behindDoc="0" locked="0" layoutInCell="1" allowOverlap="1" wp14:anchorId="3F6F39E7" wp14:editId="7E3B2738">
            <wp:simplePos x="0" y="0"/>
            <wp:positionH relativeFrom="margin">
              <wp:align>center</wp:align>
            </wp:positionH>
            <wp:positionV relativeFrom="paragraph">
              <wp:posOffset>598170</wp:posOffset>
            </wp:positionV>
            <wp:extent cx="5924550" cy="2971800"/>
            <wp:effectExtent l="0" t="0" r="0" b="0"/>
            <wp:wrapSquare wrapText="bothSides"/>
            <wp:docPr id="1" name="Chart 1" descr="Total students receiving online evaluations&#10;&#10;" title="Sample Siz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BF47F9E" w:rsidRPr="641F8883">
        <w:rPr>
          <w:rFonts w:ascii="Calibri" w:eastAsia="Times New Roman" w:hAnsi="Calibri" w:cs="Calibri"/>
          <w:color w:val="000000" w:themeColor="text1"/>
          <w:sz w:val="24"/>
          <w:szCs w:val="24"/>
        </w:rPr>
        <w:t xml:space="preserve">The following summary provides a record of our attempts to improve data collection approaches over the years, with the </w:t>
      </w:r>
      <w:r w:rsidR="6CFA7552" w:rsidRPr="641F8883">
        <w:rPr>
          <w:rFonts w:ascii="Calibri" w:eastAsia="Times New Roman" w:hAnsi="Calibri" w:cs="Calibri"/>
          <w:color w:val="000000" w:themeColor="text1"/>
          <w:sz w:val="24"/>
          <w:szCs w:val="24"/>
        </w:rPr>
        <w:t>goal</w:t>
      </w:r>
      <w:r w:rsidR="0BF47F9E" w:rsidRPr="641F8883">
        <w:rPr>
          <w:rFonts w:ascii="Calibri" w:eastAsia="Times New Roman" w:hAnsi="Calibri" w:cs="Calibri"/>
          <w:color w:val="000000" w:themeColor="text1"/>
          <w:sz w:val="24"/>
          <w:szCs w:val="24"/>
        </w:rPr>
        <w:t xml:space="preserve"> of improved response rates for SET.</w:t>
      </w:r>
    </w:p>
    <w:p w14:paraId="1BE54921" w14:textId="55AA0AD0" w:rsidR="00ED02B2" w:rsidRDefault="00ED02B2" w:rsidP="00ED02B2">
      <w:pPr>
        <w:rPr>
          <w:color w:val="000000" w:themeColor="text1"/>
        </w:rPr>
      </w:pPr>
    </w:p>
    <w:p w14:paraId="6D7FD1CF" w14:textId="74131A4F" w:rsidR="009B6FE9" w:rsidRDefault="00DF07EB" w:rsidP="00ED02B2">
      <w:pPr>
        <w:rPr>
          <w:color w:val="000000" w:themeColor="text1"/>
        </w:rPr>
      </w:pPr>
      <w:r w:rsidRPr="0D57D804">
        <w:rPr>
          <w:color w:val="000000" w:themeColor="text1"/>
        </w:rPr>
        <w:t>The bar chart compares student response rates between paper-based and online student evaluations of teaching over</w:t>
      </w:r>
      <w:r w:rsidR="5BD81F6E" w:rsidRPr="0D57D804">
        <w:rPr>
          <w:color w:val="000000" w:themeColor="text1"/>
        </w:rPr>
        <w:t xml:space="preserve"> an </w:t>
      </w:r>
      <w:r w:rsidR="00612E0F" w:rsidRPr="0D57D804">
        <w:rPr>
          <w:color w:val="000000" w:themeColor="text1"/>
        </w:rPr>
        <w:t>eight</w:t>
      </w:r>
      <w:r w:rsidR="44F0F8D4" w:rsidRPr="0D57D804">
        <w:rPr>
          <w:color w:val="000000" w:themeColor="text1"/>
        </w:rPr>
        <w:t>-year</w:t>
      </w:r>
      <w:r w:rsidR="5BD81F6E" w:rsidRPr="0D57D804">
        <w:rPr>
          <w:color w:val="000000" w:themeColor="text1"/>
        </w:rPr>
        <w:t xml:space="preserve"> period.</w:t>
      </w:r>
    </w:p>
    <w:p w14:paraId="6E3820F8" w14:textId="694913A6" w:rsidR="00A97841" w:rsidRPr="009B6FE9" w:rsidRDefault="158E3072" w:rsidP="0D57D804">
      <w:pPr>
        <w:spacing w:after="0" w:line="240" w:lineRule="auto"/>
      </w:pPr>
      <w:r w:rsidRPr="0D57D804">
        <w:rPr>
          <w:color w:val="000000" w:themeColor="text1"/>
        </w:rPr>
        <w:t xml:space="preserve">The Testing, Evaluation and Research Services (TE&amp;RS) was the first online in-house system.  The next online system introduced was the Qualtrics SET </w:t>
      </w:r>
      <w:r w:rsidR="00BC43D7" w:rsidRPr="0D57D804">
        <w:rPr>
          <w:color w:val="000000" w:themeColor="text1"/>
        </w:rPr>
        <w:t xml:space="preserve">App </w:t>
      </w:r>
      <w:r w:rsidRPr="0D57D804">
        <w:rPr>
          <w:color w:val="000000" w:themeColor="text1"/>
        </w:rPr>
        <w:t>online system.  Today, we have advanced t</w:t>
      </w:r>
      <w:r w:rsidR="3F425FFF" w:rsidRPr="0D57D804">
        <w:rPr>
          <w:color w:val="000000" w:themeColor="text1"/>
        </w:rPr>
        <w:t>o</w:t>
      </w:r>
      <w:r w:rsidRPr="0D57D804">
        <w:rPr>
          <w:color w:val="000000" w:themeColor="text1"/>
        </w:rPr>
        <w:t xml:space="preserve"> </w:t>
      </w:r>
      <w:proofErr w:type="spellStart"/>
      <w:r w:rsidRPr="0D57D804">
        <w:rPr>
          <w:color w:val="000000" w:themeColor="text1"/>
        </w:rPr>
        <w:t>Explorance</w:t>
      </w:r>
      <w:proofErr w:type="spellEnd"/>
      <w:r w:rsidRPr="0D57D804">
        <w:rPr>
          <w:color w:val="000000" w:themeColor="text1"/>
        </w:rPr>
        <w:t xml:space="preserve"> Blue which provides something we have not had in the past</w:t>
      </w:r>
      <w:r w:rsidR="482CA983" w:rsidRPr="0D57D804">
        <w:rPr>
          <w:color w:val="000000" w:themeColor="text1"/>
        </w:rPr>
        <w:t>,</w:t>
      </w:r>
      <w:r w:rsidRPr="0D57D804">
        <w:rPr>
          <w:color w:val="000000" w:themeColor="text1"/>
        </w:rPr>
        <w:t xml:space="preserve"> an interface with the Canvas </w:t>
      </w:r>
      <w:r w:rsidR="7105ADC4" w:rsidRPr="0D57D804">
        <w:rPr>
          <w:color w:val="000000" w:themeColor="text1"/>
        </w:rPr>
        <w:t xml:space="preserve">online learning </w:t>
      </w:r>
      <w:r w:rsidRPr="0D57D804">
        <w:rPr>
          <w:color w:val="000000" w:themeColor="text1"/>
        </w:rPr>
        <w:t xml:space="preserve">system.  </w:t>
      </w:r>
    </w:p>
    <w:p w14:paraId="0BD875E1" w14:textId="14F4E3A9" w:rsidR="00A97841" w:rsidRPr="009B6FE9" w:rsidRDefault="00A97841" w:rsidP="0D57D804">
      <w:pPr>
        <w:spacing w:line="360" w:lineRule="auto"/>
        <w:rPr>
          <w:rFonts w:ascii="Arial Rounded MT Bold" w:hAnsi="Arial Rounded MT Bold"/>
        </w:rPr>
      </w:pPr>
      <w:r>
        <w:br w:type="page"/>
      </w:r>
      <w:r w:rsidRPr="0D57D804">
        <w:rPr>
          <w:rStyle w:val="Heading2Char"/>
        </w:rPr>
        <w:lastRenderedPageBreak/>
        <w:t>SET Online</w:t>
      </w:r>
      <w:r w:rsidR="211FA658" w:rsidRPr="0D57D804">
        <w:rPr>
          <w:rStyle w:val="Heading2Char"/>
        </w:rPr>
        <w:t xml:space="preserve"> Introduction</w:t>
      </w:r>
    </w:p>
    <w:p w14:paraId="78D712E7" w14:textId="7C4CD8DA" w:rsidR="00BD5695" w:rsidRPr="009B6FE9" w:rsidRDefault="00BD5695" w:rsidP="009B6FE9">
      <w:pPr>
        <w:spacing w:after="0" w:line="240" w:lineRule="auto"/>
        <w:rPr>
          <w:color w:val="000000" w:themeColor="text1"/>
        </w:rPr>
      </w:pPr>
      <w:r w:rsidRPr="2F2C845E">
        <w:rPr>
          <w:color w:val="000000" w:themeColor="text1"/>
        </w:rPr>
        <w:t xml:space="preserve">The TE&amp;RS </w:t>
      </w:r>
      <w:r w:rsidR="00A97841" w:rsidRPr="2F2C845E">
        <w:rPr>
          <w:color w:val="000000" w:themeColor="text1"/>
        </w:rPr>
        <w:t>w</w:t>
      </w:r>
      <w:r w:rsidRPr="2F2C845E">
        <w:rPr>
          <w:color w:val="000000" w:themeColor="text1"/>
        </w:rPr>
        <w:t>as the first online SET system to be piloted and introduced in 2003.  The system was a h</w:t>
      </w:r>
      <w:r w:rsidR="0937557A" w:rsidRPr="2F2C845E">
        <w:rPr>
          <w:color w:val="000000" w:themeColor="text1"/>
        </w:rPr>
        <w:t>omegrown solution allowing for</w:t>
      </w:r>
      <w:r w:rsidRPr="2F2C845E">
        <w:rPr>
          <w:color w:val="000000" w:themeColor="text1"/>
        </w:rPr>
        <w:t xml:space="preserve"> a possible movement from paper-based evaluations</w:t>
      </w:r>
      <w:r w:rsidR="22A3AB54" w:rsidRPr="2F2C845E">
        <w:rPr>
          <w:color w:val="000000" w:themeColor="text1"/>
        </w:rPr>
        <w:t xml:space="preserve">, </w:t>
      </w:r>
      <w:r w:rsidRPr="2F2C845E">
        <w:rPr>
          <w:color w:val="000000" w:themeColor="text1"/>
        </w:rPr>
        <w:t xml:space="preserve">15 </w:t>
      </w:r>
      <w:r w:rsidR="5E31649F" w:rsidRPr="2F2C845E">
        <w:rPr>
          <w:color w:val="000000" w:themeColor="text1"/>
        </w:rPr>
        <w:t>courses participated</w:t>
      </w:r>
      <w:r w:rsidRPr="2F2C845E">
        <w:rPr>
          <w:color w:val="000000" w:themeColor="text1"/>
        </w:rPr>
        <w:t xml:space="preserve"> in the pilot.  </w:t>
      </w:r>
      <w:r w:rsidR="00A97841" w:rsidRPr="2F2C845E">
        <w:rPr>
          <w:color w:val="000000" w:themeColor="text1"/>
        </w:rPr>
        <w:t xml:space="preserve">An </w:t>
      </w:r>
      <w:r w:rsidRPr="2F2C845E">
        <w:rPr>
          <w:color w:val="000000" w:themeColor="text1"/>
        </w:rPr>
        <w:t xml:space="preserve">improvement </w:t>
      </w:r>
      <w:r w:rsidR="00A97841" w:rsidRPr="2F2C845E">
        <w:rPr>
          <w:color w:val="000000" w:themeColor="text1"/>
        </w:rPr>
        <w:t xml:space="preserve">later added </w:t>
      </w:r>
      <w:r w:rsidRPr="2F2C845E">
        <w:rPr>
          <w:color w:val="000000" w:themeColor="text1"/>
        </w:rPr>
        <w:t xml:space="preserve">was the creation and inclusion of reminder emails.  This process was a follow-up to students who had not completed their online survey.  The </w:t>
      </w:r>
      <w:r w:rsidR="00A97841" w:rsidRPr="2F2C845E">
        <w:rPr>
          <w:color w:val="000000" w:themeColor="text1"/>
        </w:rPr>
        <w:t xml:space="preserve">feedback was </w:t>
      </w:r>
      <w:r w:rsidR="3862E924" w:rsidRPr="2F2C845E">
        <w:rPr>
          <w:color w:val="000000" w:themeColor="text1"/>
        </w:rPr>
        <w:t>positive,</w:t>
      </w:r>
      <w:r w:rsidR="00A97841" w:rsidRPr="2F2C845E">
        <w:rPr>
          <w:color w:val="000000" w:themeColor="text1"/>
        </w:rPr>
        <w:t xml:space="preserve"> and the </w:t>
      </w:r>
      <w:r w:rsidRPr="2F2C845E">
        <w:rPr>
          <w:color w:val="000000" w:themeColor="text1"/>
        </w:rPr>
        <w:t>response rate</w:t>
      </w:r>
      <w:r w:rsidR="009B6FE9" w:rsidRPr="2F2C845E">
        <w:rPr>
          <w:color w:val="000000" w:themeColor="text1"/>
        </w:rPr>
        <w:t>s</w:t>
      </w:r>
      <w:r w:rsidRPr="2F2C845E">
        <w:rPr>
          <w:color w:val="000000" w:themeColor="text1"/>
        </w:rPr>
        <w:t xml:space="preserve"> </w:t>
      </w:r>
      <w:r w:rsidR="0063718E" w:rsidRPr="2F2C845E">
        <w:rPr>
          <w:color w:val="000000" w:themeColor="text1"/>
        </w:rPr>
        <w:t xml:space="preserve">continued to </w:t>
      </w:r>
      <w:r w:rsidR="00A97841" w:rsidRPr="2F2C845E">
        <w:rPr>
          <w:color w:val="000000" w:themeColor="text1"/>
        </w:rPr>
        <w:t xml:space="preserve">increase.  </w:t>
      </w:r>
    </w:p>
    <w:p w14:paraId="30896350" w14:textId="5C9A961E" w:rsidR="00E61EA6" w:rsidRDefault="00E61EA6" w:rsidP="009B6FE9">
      <w:pPr>
        <w:spacing w:after="0" w:line="240" w:lineRule="auto"/>
      </w:pPr>
    </w:p>
    <w:p w14:paraId="4430BBFF" w14:textId="5C5FE314" w:rsidR="002678B9" w:rsidRDefault="002678B9" w:rsidP="002678B9">
      <w:pPr>
        <w:spacing w:after="0" w:line="240" w:lineRule="auto"/>
      </w:pPr>
      <w:r>
        <w:t xml:space="preserve">At the request of the 2N SET Committee there were modifications made to the Student Evaluation of Teaching (SET) questionnaire in 2014.  The questions were revised and reduced from 24 to 22.  </w:t>
      </w:r>
    </w:p>
    <w:p w14:paraId="317DDA69" w14:textId="77777777" w:rsidR="002678B9" w:rsidRDefault="002678B9" w:rsidP="009B6FE9">
      <w:pPr>
        <w:spacing w:after="0" w:line="240" w:lineRule="auto"/>
      </w:pPr>
    </w:p>
    <w:p w14:paraId="046B0BBC" w14:textId="5DAFDDDE" w:rsidR="002E194C" w:rsidRDefault="00A97841" w:rsidP="009B6FE9">
      <w:pPr>
        <w:spacing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Another improvement introduced, was the addition of a</w:t>
      </w:r>
      <w:r w:rsidR="002E194C" w:rsidRPr="25E99502">
        <w:rPr>
          <w:rFonts w:ascii="Calibri" w:eastAsia="Times New Roman" w:hAnsi="Calibri" w:cs="Calibri"/>
          <w:color w:val="000000" w:themeColor="text1"/>
          <w:sz w:val="24"/>
          <w:szCs w:val="24"/>
        </w:rPr>
        <w:t xml:space="preserve"> media campaign </w:t>
      </w:r>
      <w:r w:rsidR="002C0769" w:rsidRPr="25E99502">
        <w:rPr>
          <w:rFonts w:ascii="Calibri" w:eastAsia="Times New Roman" w:hAnsi="Calibri" w:cs="Calibri"/>
          <w:color w:val="000000" w:themeColor="text1"/>
          <w:sz w:val="24"/>
          <w:szCs w:val="24"/>
        </w:rPr>
        <w:t xml:space="preserve">to encourage students to participate with </w:t>
      </w:r>
      <w:r w:rsidR="00881FE0">
        <w:rPr>
          <w:rFonts w:ascii="Calibri" w:eastAsia="Times New Roman" w:hAnsi="Calibri" w:cs="Calibri"/>
          <w:color w:val="000000" w:themeColor="text1"/>
          <w:sz w:val="24"/>
          <w:szCs w:val="24"/>
        </w:rPr>
        <w:t>assistance</w:t>
      </w:r>
      <w:r>
        <w:rPr>
          <w:rFonts w:ascii="Calibri" w:eastAsia="Times New Roman" w:hAnsi="Calibri" w:cs="Calibri"/>
          <w:color w:val="000000" w:themeColor="text1"/>
          <w:sz w:val="24"/>
          <w:szCs w:val="24"/>
        </w:rPr>
        <w:t xml:space="preserve"> from</w:t>
      </w:r>
      <w:r w:rsidR="00881FE0">
        <w:rPr>
          <w:rFonts w:ascii="Calibri" w:eastAsia="Times New Roman" w:hAnsi="Calibri" w:cs="Calibri"/>
          <w:color w:val="000000" w:themeColor="text1"/>
          <w:sz w:val="24"/>
          <w:szCs w:val="24"/>
        </w:rPr>
        <w:t xml:space="preserve"> </w:t>
      </w:r>
      <w:r w:rsidR="002C0769" w:rsidRPr="25E99502">
        <w:rPr>
          <w:rFonts w:ascii="Calibri" w:eastAsia="Times New Roman" w:hAnsi="Calibri" w:cs="Calibri"/>
          <w:color w:val="000000" w:themeColor="text1"/>
          <w:sz w:val="24"/>
          <w:szCs w:val="24"/>
        </w:rPr>
        <w:t xml:space="preserve">Marketing </w:t>
      </w:r>
      <w:r w:rsidR="007B6DC3">
        <w:rPr>
          <w:rFonts w:ascii="Calibri" w:eastAsia="Times New Roman" w:hAnsi="Calibri" w:cs="Calibri"/>
          <w:color w:val="000000" w:themeColor="text1"/>
          <w:sz w:val="24"/>
          <w:szCs w:val="24"/>
        </w:rPr>
        <w:t xml:space="preserve">and Communications </w:t>
      </w:r>
      <w:r w:rsidR="002C0769" w:rsidRPr="25E99502">
        <w:rPr>
          <w:rFonts w:ascii="Calibri" w:eastAsia="Times New Roman" w:hAnsi="Calibri" w:cs="Calibri"/>
          <w:color w:val="000000" w:themeColor="text1"/>
          <w:sz w:val="24"/>
          <w:szCs w:val="24"/>
        </w:rPr>
        <w:t>and the Dean of Students Office</w:t>
      </w:r>
      <w:r w:rsidR="00881FE0">
        <w:rPr>
          <w:rFonts w:ascii="Calibri" w:eastAsia="Times New Roman" w:hAnsi="Calibri" w:cs="Calibri"/>
          <w:color w:val="000000" w:themeColor="text1"/>
          <w:sz w:val="24"/>
          <w:szCs w:val="24"/>
        </w:rPr>
        <w:t xml:space="preserve"> (DOSO)</w:t>
      </w:r>
      <w:r w:rsidR="006E7F31">
        <w:rPr>
          <w:rFonts w:ascii="Calibri" w:eastAsia="Times New Roman" w:hAnsi="Calibri" w:cs="Calibri"/>
          <w:color w:val="000000" w:themeColor="text1"/>
          <w:sz w:val="24"/>
          <w:szCs w:val="24"/>
        </w:rPr>
        <w:t xml:space="preserve"> in 2015.  The </w:t>
      </w:r>
      <w:r>
        <w:rPr>
          <w:rFonts w:ascii="Calibri" w:eastAsia="Times New Roman" w:hAnsi="Calibri" w:cs="Calibri"/>
          <w:color w:val="000000" w:themeColor="text1"/>
          <w:sz w:val="24"/>
          <w:szCs w:val="24"/>
        </w:rPr>
        <w:t xml:space="preserve">add-on </w:t>
      </w:r>
      <w:r w:rsidR="006E7F31">
        <w:rPr>
          <w:rFonts w:ascii="Calibri" w:eastAsia="Times New Roman" w:hAnsi="Calibri" w:cs="Calibri"/>
          <w:color w:val="000000" w:themeColor="text1"/>
          <w:sz w:val="24"/>
          <w:szCs w:val="24"/>
        </w:rPr>
        <w:t xml:space="preserve">of the media campaign </w:t>
      </w:r>
      <w:r w:rsidR="002C0769" w:rsidRPr="25E99502">
        <w:rPr>
          <w:rFonts w:ascii="Calibri" w:eastAsia="Times New Roman" w:hAnsi="Calibri" w:cs="Calibri"/>
          <w:color w:val="000000" w:themeColor="text1"/>
          <w:sz w:val="24"/>
          <w:szCs w:val="24"/>
        </w:rPr>
        <w:t>resulted in a</w:t>
      </w:r>
      <w:r>
        <w:rPr>
          <w:rFonts w:ascii="Calibri" w:eastAsia="Times New Roman" w:hAnsi="Calibri" w:cs="Calibri"/>
          <w:color w:val="000000" w:themeColor="text1"/>
          <w:sz w:val="24"/>
          <w:szCs w:val="24"/>
        </w:rPr>
        <w:t xml:space="preserve"> rise in</w:t>
      </w:r>
      <w:r w:rsidR="002C0769" w:rsidRPr="25E99502">
        <w:rPr>
          <w:rFonts w:ascii="Calibri" w:eastAsia="Times New Roman" w:hAnsi="Calibri" w:cs="Calibri"/>
          <w:color w:val="000000" w:themeColor="text1"/>
          <w:sz w:val="24"/>
          <w:szCs w:val="24"/>
        </w:rPr>
        <w:t xml:space="preserve"> </w:t>
      </w:r>
      <w:r w:rsidR="0084576E" w:rsidRPr="25E99502">
        <w:rPr>
          <w:rFonts w:ascii="Calibri" w:eastAsia="Times New Roman" w:hAnsi="Calibri" w:cs="Calibri"/>
          <w:color w:val="000000" w:themeColor="text1"/>
          <w:sz w:val="24"/>
          <w:szCs w:val="24"/>
        </w:rPr>
        <w:t xml:space="preserve">response rate </w:t>
      </w:r>
      <w:r>
        <w:rPr>
          <w:rFonts w:ascii="Calibri" w:eastAsia="Times New Roman" w:hAnsi="Calibri" w:cs="Calibri"/>
          <w:color w:val="000000" w:themeColor="text1"/>
          <w:sz w:val="24"/>
          <w:szCs w:val="24"/>
        </w:rPr>
        <w:t xml:space="preserve">to </w:t>
      </w:r>
      <w:r w:rsidR="0084576E" w:rsidRPr="25E99502">
        <w:rPr>
          <w:rFonts w:ascii="Calibri" w:eastAsia="Times New Roman" w:hAnsi="Calibri" w:cs="Calibri"/>
          <w:color w:val="000000" w:themeColor="text1"/>
          <w:sz w:val="24"/>
          <w:szCs w:val="24"/>
        </w:rPr>
        <w:t xml:space="preserve">13%.  </w:t>
      </w:r>
    </w:p>
    <w:p w14:paraId="3EDF81A3" w14:textId="307D1EEB" w:rsidR="001D38AC" w:rsidRPr="009B6FE9" w:rsidRDefault="001D38AC" w:rsidP="0D57D804">
      <w:pPr>
        <w:pStyle w:val="Heading2"/>
        <w:spacing w:before="0" w:line="360" w:lineRule="auto"/>
        <w:rPr>
          <w:rStyle w:val="Heading2Char"/>
        </w:rPr>
      </w:pPr>
      <w:r w:rsidRPr="0D57D804">
        <w:rPr>
          <w:rStyle w:val="Heading2Char"/>
        </w:rPr>
        <w:t xml:space="preserve">Moving Forward </w:t>
      </w:r>
    </w:p>
    <w:p w14:paraId="464D8898" w14:textId="314CEA85" w:rsidR="00CB21D7" w:rsidRDefault="009B6FE9" w:rsidP="009B6FE9">
      <w:pPr>
        <w:spacing w:after="0" w:line="240" w:lineRule="auto"/>
        <w:rPr>
          <w:rFonts w:ascii="Calibri" w:eastAsia="Times New Roman" w:hAnsi="Calibri" w:cs="Calibri"/>
          <w:color w:val="000000" w:themeColor="text1"/>
          <w:sz w:val="24"/>
          <w:szCs w:val="24"/>
        </w:rPr>
      </w:pPr>
      <w:r>
        <w:t xml:space="preserve">We continued to look for more opportunities to improve online SET.  </w:t>
      </w:r>
      <w:r w:rsidR="006E7F31">
        <w:t xml:space="preserve">Following the questionnaire changes and </w:t>
      </w:r>
      <w:r w:rsidR="00E928E0">
        <w:t xml:space="preserve">with </w:t>
      </w:r>
      <w:r w:rsidR="006E7F31">
        <w:t xml:space="preserve">the </w:t>
      </w:r>
      <w:r w:rsidR="00654623">
        <w:t>enhancement o</w:t>
      </w:r>
      <w:r w:rsidR="006E7F31">
        <w:t xml:space="preserve">f the media campaign, the </w:t>
      </w:r>
      <w:r w:rsidR="00654623">
        <w:t xml:space="preserve">new </w:t>
      </w:r>
      <w:r w:rsidR="006E7F31">
        <w:t xml:space="preserve">Qualtrics </w:t>
      </w:r>
      <w:r w:rsidR="00654623">
        <w:t>SET online app w</w:t>
      </w:r>
      <w:r w:rsidR="006E7F31">
        <w:t>as piloted and introduced to replace the TE&amp;RS system</w:t>
      </w:r>
      <w:r w:rsidR="00654623">
        <w:t xml:space="preserve"> in 2016.  </w:t>
      </w:r>
      <w:r w:rsidR="00CB21D7" w:rsidRPr="2EA0D113">
        <w:rPr>
          <w:rFonts w:ascii="Calibri" w:eastAsia="Times New Roman" w:hAnsi="Calibri" w:cs="Calibri"/>
          <w:color w:val="000000" w:themeColor="text1"/>
          <w:sz w:val="24"/>
          <w:szCs w:val="24"/>
        </w:rPr>
        <w:t>The pilot project included instructors from 15 courses</w:t>
      </w:r>
      <w:r w:rsidR="00D1072C" w:rsidRPr="2EA0D113">
        <w:rPr>
          <w:rFonts w:ascii="Calibri" w:eastAsia="Times New Roman" w:hAnsi="Calibri" w:cs="Calibri"/>
          <w:color w:val="000000" w:themeColor="text1"/>
          <w:sz w:val="24"/>
          <w:szCs w:val="24"/>
        </w:rPr>
        <w:t xml:space="preserve">.  With this </w:t>
      </w:r>
      <w:r w:rsidRPr="2EA0D113">
        <w:rPr>
          <w:rFonts w:ascii="Calibri" w:eastAsia="Times New Roman" w:hAnsi="Calibri" w:cs="Calibri"/>
          <w:color w:val="000000" w:themeColor="text1"/>
          <w:sz w:val="24"/>
          <w:szCs w:val="24"/>
        </w:rPr>
        <w:t xml:space="preserve">new </w:t>
      </w:r>
      <w:r w:rsidR="00D1072C" w:rsidRPr="2EA0D113">
        <w:rPr>
          <w:rFonts w:ascii="Calibri" w:eastAsia="Times New Roman" w:hAnsi="Calibri" w:cs="Calibri"/>
          <w:color w:val="000000" w:themeColor="text1"/>
          <w:sz w:val="24"/>
          <w:szCs w:val="24"/>
        </w:rPr>
        <w:t>system f</w:t>
      </w:r>
      <w:r w:rsidR="00CB21D7" w:rsidRPr="2EA0D113">
        <w:rPr>
          <w:rFonts w:ascii="Calibri" w:eastAsia="Times New Roman" w:hAnsi="Calibri" w:cs="Calibri"/>
          <w:color w:val="000000" w:themeColor="text1"/>
          <w:sz w:val="24"/>
          <w:szCs w:val="24"/>
        </w:rPr>
        <w:t xml:space="preserve">aculty </w:t>
      </w:r>
      <w:r w:rsidR="50B4A35D" w:rsidRPr="2EA0D113">
        <w:rPr>
          <w:rFonts w:ascii="Calibri" w:eastAsia="Times New Roman" w:hAnsi="Calibri" w:cs="Calibri"/>
          <w:color w:val="000000" w:themeColor="text1"/>
          <w:sz w:val="24"/>
          <w:szCs w:val="24"/>
        </w:rPr>
        <w:t>could</w:t>
      </w:r>
      <w:r w:rsidR="00CB21D7" w:rsidRPr="2EA0D113">
        <w:rPr>
          <w:rFonts w:ascii="Calibri" w:eastAsia="Times New Roman" w:hAnsi="Calibri" w:cs="Calibri"/>
          <w:color w:val="000000" w:themeColor="text1"/>
          <w:sz w:val="24"/>
          <w:szCs w:val="24"/>
        </w:rPr>
        <w:t xml:space="preserve"> release their surveys as part of an announcement or release on a special in-class day, like the method used in paper-based administration. Despite </w:t>
      </w:r>
      <w:r w:rsidR="00654623" w:rsidRPr="2EA0D113">
        <w:rPr>
          <w:rFonts w:ascii="Calibri" w:eastAsia="Times New Roman" w:hAnsi="Calibri" w:cs="Calibri"/>
          <w:color w:val="000000" w:themeColor="text1"/>
          <w:sz w:val="24"/>
          <w:szCs w:val="24"/>
        </w:rPr>
        <w:t xml:space="preserve">the </w:t>
      </w:r>
      <w:r w:rsidR="00CB21D7" w:rsidRPr="2EA0D113">
        <w:rPr>
          <w:rFonts w:ascii="Calibri" w:eastAsia="Times New Roman" w:hAnsi="Calibri" w:cs="Calibri"/>
          <w:color w:val="000000" w:themeColor="text1"/>
          <w:sz w:val="24"/>
          <w:szCs w:val="24"/>
        </w:rPr>
        <w:t>small sample size, there was an increase in the response rate to 41%.</w:t>
      </w:r>
    </w:p>
    <w:p w14:paraId="3CF6EC09" w14:textId="77777777" w:rsidR="009B6FE9" w:rsidRDefault="009B6FE9" w:rsidP="009B6FE9">
      <w:pPr>
        <w:spacing w:after="0" w:line="240" w:lineRule="auto"/>
        <w:rPr>
          <w:rFonts w:ascii="Calibri" w:eastAsia="Times New Roman" w:hAnsi="Calibri" w:cs="Calibri"/>
          <w:color w:val="000000" w:themeColor="text1"/>
          <w:sz w:val="24"/>
          <w:szCs w:val="24"/>
        </w:rPr>
      </w:pPr>
    </w:p>
    <w:p w14:paraId="2266688B" w14:textId="44B01D6F" w:rsidR="00CF0E01" w:rsidRDefault="008C0485" w:rsidP="009B6FE9">
      <w:pPr>
        <w:spacing w:after="0" w:line="240" w:lineRule="auto"/>
        <w:rPr>
          <w:rFonts w:ascii="Calibri" w:eastAsia="Times New Roman" w:hAnsi="Calibri" w:cs="Calibri"/>
          <w:sz w:val="24"/>
          <w:szCs w:val="24"/>
        </w:rPr>
      </w:pPr>
      <w:r w:rsidRPr="00654623">
        <w:rPr>
          <w:rFonts w:ascii="Calibri" w:eastAsia="Times New Roman" w:hAnsi="Calibri" w:cs="Calibri"/>
          <w:sz w:val="24"/>
          <w:szCs w:val="24"/>
        </w:rPr>
        <w:t>From winter 2016 through winter 2019, under the Qualtrics online system</w:t>
      </w:r>
      <w:r w:rsidR="00504F17">
        <w:rPr>
          <w:rFonts w:ascii="Calibri" w:eastAsia="Times New Roman" w:hAnsi="Calibri" w:cs="Calibri"/>
          <w:sz w:val="24"/>
          <w:szCs w:val="24"/>
        </w:rPr>
        <w:t xml:space="preserve"> the </w:t>
      </w:r>
      <w:r w:rsidRPr="00654623">
        <w:rPr>
          <w:rFonts w:ascii="Calibri" w:eastAsia="Times New Roman" w:hAnsi="Calibri" w:cs="Calibri"/>
          <w:sz w:val="24"/>
          <w:szCs w:val="24"/>
        </w:rPr>
        <w:t xml:space="preserve">response rates </w:t>
      </w:r>
      <w:r w:rsidR="00A97841">
        <w:rPr>
          <w:rFonts w:ascii="Calibri" w:eastAsia="Times New Roman" w:hAnsi="Calibri" w:cs="Calibri"/>
          <w:sz w:val="24"/>
          <w:szCs w:val="24"/>
        </w:rPr>
        <w:t xml:space="preserve">hoovered between </w:t>
      </w:r>
      <w:r w:rsidR="00504F17">
        <w:rPr>
          <w:rFonts w:ascii="Calibri" w:eastAsia="Times New Roman" w:hAnsi="Calibri" w:cs="Calibri"/>
          <w:sz w:val="24"/>
          <w:szCs w:val="24"/>
        </w:rPr>
        <w:t>35% to 41%</w:t>
      </w:r>
      <w:r w:rsidR="0059393E">
        <w:rPr>
          <w:rFonts w:ascii="Calibri" w:eastAsia="Times New Roman" w:hAnsi="Calibri" w:cs="Calibri"/>
          <w:sz w:val="24"/>
          <w:szCs w:val="24"/>
        </w:rPr>
        <w:t xml:space="preserve">. </w:t>
      </w:r>
      <w:r w:rsidRPr="00654623">
        <w:rPr>
          <w:rFonts w:ascii="Calibri" w:eastAsia="Times New Roman" w:hAnsi="Calibri" w:cs="Calibri"/>
          <w:sz w:val="24"/>
          <w:szCs w:val="24"/>
        </w:rPr>
        <w:t xml:space="preserve"> After viewing overall statistics, and not seeing an upward trend.  It was determined that to improve student response rates, a look for another online system was needed.  </w:t>
      </w:r>
    </w:p>
    <w:p w14:paraId="336600BE" w14:textId="77777777" w:rsidR="00E55962" w:rsidRDefault="00E55962" w:rsidP="00E55962">
      <w:pPr>
        <w:spacing w:after="0" w:line="240" w:lineRule="auto"/>
        <w:rPr>
          <w:rFonts w:ascii="Calibri" w:eastAsia="Times New Roman" w:hAnsi="Calibri" w:cs="Calibri"/>
          <w:sz w:val="24"/>
          <w:szCs w:val="24"/>
        </w:rPr>
      </w:pPr>
    </w:p>
    <w:p w14:paraId="0651B65C" w14:textId="3AC0152E" w:rsidR="001D38AC" w:rsidRPr="009B6FE9" w:rsidRDefault="009B6FE9" w:rsidP="0D57D804">
      <w:pPr>
        <w:pStyle w:val="Heading2"/>
        <w:spacing w:before="0" w:line="360" w:lineRule="auto"/>
        <w:rPr>
          <w:rStyle w:val="Heading2Char"/>
        </w:rPr>
      </w:pPr>
      <w:r w:rsidRPr="0D57D804">
        <w:rPr>
          <w:rStyle w:val="Heading2Char"/>
        </w:rPr>
        <w:t xml:space="preserve">Online SET </w:t>
      </w:r>
    </w:p>
    <w:p w14:paraId="7DBAF8C3" w14:textId="02BA8FDC" w:rsidR="001D38AC" w:rsidRDefault="00504F17" w:rsidP="009B6FE9">
      <w:pPr>
        <w:pStyle w:val="Heading2"/>
        <w:spacing w:before="0" w:line="240" w:lineRule="auto"/>
        <w:rPr>
          <w:rFonts w:ascii="Calibri" w:eastAsia="Times New Roman" w:hAnsi="Calibri" w:cs="Calibri"/>
          <w:color w:val="000000" w:themeColor="text1"/>
          <w:sz w:val="24"/>
          <w:szCs w:val="24"/>
        </w:rPr>
      </w:pPr>
      <w:r w:rsidRPr="2EA0D113">
        <w:rPr>
          <w:rFonts w:ascii="Calibri" w:eastAsia="Times New Roman" w:hAnsi="Calibri" w:cs="Calibri"/>
          <w:color w:val="000000" w:themeColor="text1"/>
          <w:sz w:val="24"/>
          <w:szCs w:val="24"/>
        </w:rPr>
        <w:t>W</w:t>
      </w:r>
      <w:r w:rsidR="00E834C0" w:rsidRPr="2EA0D113">
        <w:rPr>
          <w:rFonts w:ascii="Calibri" w:eastAsia="Times New Roman" w:hAnsi="Calibri" w:cs="Calibri"/>
          <w:color w:val="000000" w:themeColor="text1"/>
          <w:sz w:val="24"/>
          <w:szCs w:val="24"/>
        </w:rPr>
        <w:t xml:space="preserve">e </w:t>
      </w:r>
      <w:r w:rsidR="00C644F3" w:rsidRPr="2EA0D113">
        <w:rPr>
          <w:rFonts w:ascii="Calibri" w:eastAsia="Times New Roman" w:hAnsi="Calibri" w:cs="Calibri"/>
          <w:color w:val="000000" w:themeColor="text1"/>
          <w:sz w:val="24"/>
          <w:szCs w:val="24"/>
        </w:rPr>
        <w:t xml:space="preserve">piloted </w:t>
      </w:r>
      <w:r w:rsidR="00E834C0" w:rsidRPr="2EA0D113">
        <w:rPr>
          <w:rFonts w:ascii="Calibri" w:eastAsia="Times New Roman" w:hAnsi="Calibri" w:cs="Calibri"/>
          <w:color w:val="000000" w:themeColor="text1"/>
          <w:sz w:val="24"/>
          <w:szCs w:val="24"/>
        </w:rPr>
        <w:t>a new</w:t>
      </w:r>
      <w:r w:rsidR="79CC98CF" w:rsidRPr="2EA0D113">
        <w:rPr>
          <w:rFonts w:ascii="Calibri" w:eastAsia="Times New Roman" w:hAnsi="Calibri" w:cs="Calibri"/>
          <w:color w:val="000000" w:themeColor="text1"/>
          <w:sz w:val="24"/>
          <w:szCs w:val="24"/>
        </w:rPr>
        <w:t>, external, enterprise-level</w:t>
      </w:r>
      <w:r w:rsidR="00E834C0" w:rsidRPr="2EA0D113">
        <w:rPr>
          <w:rFonts w:ascii="Calibri" w:eastAsia="Times New Roman" w:hAnsi="Calibri" w:cs="Calibri"/>
          <w:color w:val="000000" w:themeColor="text1"/>
          <w:sz w:val="24"/>
          <w:szCs w:val="24"/>
        </w:rPr>
        <w:t xml:space="preserve"> Online SET App called </w:t>
      </w:r>
      <w:proofErr w:type="spellStart"/>
      <w:r w:rsidR="00C644F3" w:rsidRPr="2EA0D113">
        <w:rPr>
          <w:rFonts w:ascii="Calibri" w:eastAsia="Times New Roman" w:hAnsi="Calibri" w:cs="Calibri"/>
          <w:color w:val="000000" w:themeColor="text1"/>
          <w:sz w:val="24"/>
          <w:szCs w:val="24"/>
        </w:rPr>
        <w:t>Explorance</w:t>
      </w:r>
      <w:proofErr w:type="spellEnd"/>
      <w:r w:rsidR="00C644F3" w:rsidRPr="2EA0D113">
        <w:rPr>
          <w:rFonts w:ascii="Calibri" w:eastAsia="Times New Roman" w:hAnsi="Calibri" w:cs="Calibri"/>
          <w:color w:val="000000" w:themeColor="text1"/>
          <w:sz w:val="24"/>
          <w:szCs w:val="24"/>
        </w:rPr>
        <w:t xml:space="preserve"> </w:t>
      </w:r>
      <w:r w:rsidR="00E834C0" w:rsidRPr="2EA0D113">
        <w:rPr>
          <w:rFonts w:ascii="Calibri" w:eastAsia="Times New Roman" w:hAnsi="Calibri" w:cs="Calibri"/>
          <w:color w:val="000000" w:themeColor="text1"/>
          <w:sz w:val="24"/>
          <w:szCs w:val="24"/>
        </w:rPr>
        <w:t>Blue</w:t>
      </w:r>
      <w:r w:rsidRPr="2EA0D113">
        <w:rPr>
          <w:rFonts w:ascii="Calibri" w:eastAsia="Times New Roman" w:hAnsi="Calibri" w:cs="Calibri"/>
          <w:color w:val="000000" w:themeColor="text1"/>
          <w:sz w:val="24"/>
          <w:szCs w:val="24"/>
        </w:rPr>
        <w:t xml:space="preserve"> </w:t>
      </w:r>
      <w:r w:rsidR="17C3754A" w:rsidRPr="2EA0D113">
        <w:rPr>
          <w:rFonts w:ascii="Calibri" w:eastAsia="Times New Roman" w:hAnsi="Calibri" w:cs="Calibri"/>
          <w:color w:val="000000" w:themeColor="text1"/>
          <w:sz w:val="24"/>
          <w:szCs w:val="24"/>
        </w:rPr>
        <w:t>in</w:t>
      </w:r>
      <w:r w:rsidRPr="2EA0D113">
        <w:rPr>
          <w:rFonts w:ascii="Calibri" w:eastAsia="Times New Roman" w:hAnsi="Calibri" w:cs="Calibri"/>
          <w:color w:val="000000" w:themeColor="text1"/>
          <w:sz w:val="24"/>
          <w:szCs w:val="24"/>
        </w:rPr>
        <w:t xml:space="preserve"> fall 2019*.</w:t>
      </w:r>
      <w:r w:rsidR="00E834C0" w:rsidRPr="2EA0D113">
        <w:rPr>
          <w:rFonts w:ascii="Calibri" w:eastAsia="Times New Roman" w:hAnsi="Calibri" w:cs="Calibri"/>
          <w:color w:val="000000" w:themeColor="text1"/>
          <w:sz w:val="24"/>
          <w:szCs w:val="24"/>
        </w:rPr>
        <w:t xml:space="preserve"> The app provided students access to their online evaluation through Canvas </w:t>
      </w:r>
      <w:r w:rsidR="3088D18E" w:rsidRPr="2EA0D113">
        <w:rPr>
          <w:rFonts w:ascii="Calibri" w:eastAsia="Times New Roman" w:hAnsi="Calibri" w:cs="Calibri"/>
          <w:color w:val="000000" w:themeColor="text1"/>
          <w:sz w:val="24"/>
          <w:szCs w:val="24"/>
        </w:rPr>
        <w:t>and</w:t>
      </w:r>
      <w:r w:rsidR="00E834C0" w:rsidRPr="2EA0D113">
        <w:rPr>
          <w:rFonts w:ascii="Calibri" w:eastAsia="Times New Roman" w:hAnsi="Calibri" w:cs="Calibri"/>
          <w:color w:val="000000" w:themeColor="text1"/>
          <w:sz w:val="24"/>
          <w:szCs w:val="24"/>
        </w:rPr>
        <w:t xml:space="preserve"> </w:t>
      </w:r>
      <w:r w:rsidR="79D3F6A2" w:rsidRPr="2EA0D113">
        <w:rPr>
          <w:rFonts w:ascii="Calibri" w:eastAsia="Times New Roman" w:hAnsi="Calibri" w:cs="Calibri"/>
          <w:color w:val="000000" w:themeColor="text1"/>
          <w:sz w:val="24"/>
          <w:szCs w:val="24"/>
        </w:rPr>
        <w:t>emailed</w:t>
      </w:r>
      <w:r w:rsidR="00E834C0" w:rsidRPr="2EA0D113">
        <w:rPr>
          <w:rFonts w:ascii="Calibri" w:eastAsia="Times New Roman" w:hAnsi="Calibri" w:cs="Calibri"/>
          <w:color w:val="000000" w:themeColor="text1"/>
          <w:sz w:val="24"/>
          <w:szCs w:val="24"/>
        </w:rPr>
        <w:t xml:space="preserve"> invitations</w:t>
      </w:r>
      <w:r w:rsidR="2927A9E0" w:rsidRPr="2EA0D113">
        <w:rPr>
          <w:rFonts w:ascii="Calibri" w:eastAsia="Times New Roman" w:hAnsi="Calibri" w:cs="Calibri"/>
          <w:color w:val="000000" w:themeColor="text1"/>
          <w:sz w:val="24"/>
          <w:szCs w:val="24"/>
        </w:rPr>
        <w:t>/</w:t>
      </w:r>
      <w:r w:rsidR="00E834C0" w:rsidRPr="2EA0D113">
        <w:rPr>
          <w:rFonts w:ascii="Calibri" w:eastAsia="Times New Roman" w:hAnsi="Calibri" w:cs="Calibri"/>
          <w:color w:val="000000" w:themeColor="text1"/>
          <w:sz w:val="24"/>
          <w:szCs w:val="24"/>
        </w:rPr>
        <w:t>reminders.  We added another option to online processing during the pilot</w:t>
      </w:r>
      <w:r w:rsidR="53D876B3" w:rsidRPr="2EA0D113">
        <w:rPr>
          <w:rFonts w:ascii="Calibri" w:eastAsia="Times New Roman" w:hAnsi="Calibri" w:cs="Calibri"/>
          <w:color w:val="000000" w:themeColor="text1"/>
          <w:sz w:val="24"/>
          <w:szCs w:val="24"/>
        </w:rPr>
        <w:t xml:space="preserve">: </w:t>
      </w:r>
      <w:r w:rsidR="00E834C0" w:rsidRPr="2EA0D113">
        <w:rPr>
          <w:rFonts w:ascii="Calibri" w:eastAsia="Times New Roman" w:hAnsi="Calibri" w:cs="Calibri"/>
          <w:color w:val="000000" w:themeColor="text1"/>
          <w:sz w:val="24"/>
          <w:szCs w:val="24"/>
        </w:rPr>
        <w:t xml:space="preserve"> the grade book</w:t>
      </w:r>
      <w:r w:rsidR="2B24CB75" w:rsidRPr="2EA0D113">
        <w:rPr>
          <w:rFonts w:ascii="Calibri" w:eastAsia="Times New Roman" w:hAnsi="Calibri" w:cs="Calibri"/>
          <w:color w:val="000000" w:themeColor="text1"/>
          <w:sz w:val="24"/>
          <w:szCs w:val="24"/>
        </w:rPr>
        <w:t xml:space="preserve"> link</w:t>
      </w:r>
      <w:r w:rsidR="00C644F3" w:rsidRPr="2EA0D113">
        <w:rPr>
          <w:rFonts w:ascii="Calibri" w:eastAsia="Times New Roman" w:hAnsi="Calibri" w:cs="Calibri"/>
          <w:color w:val="000000" w:themeColor="text1"/>
          <w:sz w:val="24"/>
          <w:szCs w:val="24"/>
        </w:rPr>
        <w:t xml:space="preserve"> in Canvas</w:t>
      </w:r>
      <w:r w:rsidR="00E834C0" w:rsidRPr="2EA0D113">
        <w:rPr>
          <w:rFonts w:ascii="Calibri" w:eastAsia="Times New Roman" w:hAnsi="Calibri" w:cs="Calibri"/>
          <w:color w:val="000000" w:themeColor="text1"/>
          <w:sz w:val="24"/>
          <w:szCs w:val="24"/>
        </w:rPr>
        <w:t xml:space="preserve">.  To access </w:t>
      </w:r>
      <w:r w:rsidR="51F800CF" w:rsidRPr="2EA0D113">
        <w:rPr>
          <w:rFonts w:ascii="Calibri" w:eastAsia="Times New Roman" w:hAnsi="Calibri" w:cs="Calibri"/>
          <w:color w:val="000000" w:themeColor="text1"/>
          <w:sz w:val="24"/>
          <w:szCs w:val="24"/>
        </w:rPr>
        <w:t>the grade</w:t>
      </w:r>
      <w:r w:rsidR="00E61EA6" w:rsidRPr="2EA0D113">
        <w:rPr>
          <w:rFonts w:ascii="Calibri" w:eastAsia="Times New Roman" w:hAnsi="Calibri" w:cs="Calibri"/>
          <w:color w:val="000000" w:themeColor="text1"/>
          <w:sz w:val="24"/>
          <w:szCs w:val="24"/>
        </w:rPr>
        <w:t xml:space="preserve"> </w:t>
      </w:r>
      <w:r w:rsidR="51F800CF" w:rsidRPr="2EA0D113">
        <w:rPr>
          <w:rFonts w:ascii="Calibri" w:eastAsia="Times New Roman" w:hAnsi="Calibri" w:cs="Calibri"/>
          <w:color w:val="000000" w:themeColor="text1"/>
          <w:sz w:val="24"/>
          <w:szCs w:val="24"/>
        </w:rPr>
        <w:t xml:space="preserve">book in Canvas, </w:t>
      </w:r>
      <w:r w:rsidR="00E834C0" w:rsidRPr="2EA0D113">
        <w:rPr>
          <w:rFonts w:ascii="Calibri" w:eastAsia="Times New Roman" w:hAnsi="Calibri" w:cs="Calibri"/>
          <w:color w:val="000000" w:themeColor="text1"/>
          <w:sz w:val="24"/>
          <w:szCs w:val="24"/>
        </w:rPr>
        <w:t xml:space="preserve">students had to </w:t>
      </w:r>
      <w:r w:rsidR="401E07B5" w:rsidRPr="2EA0D113">
        <w:rPr>
          <w:rFonts w:ascii="Calibri" w:eastAsia="Times New Roman" w:hAnsi="Calibri" w:cs="Calibri"/>
          <w:color w:val="000000" w:themeColor="text1"/>
          <w:sz w:val="24"/>
          <w:szCs w:val="24"/>
        </w:rPr>
        <w:t xml:space="preserve">first </w:t>
      </w:r>
      <w:r w:rsidR="00E834C0" w:rsidRPr="2EA0D113">
        <w:rPr>
          <w:rFonts w:ascii="Calibri" w:eastAsia="Times New Roman" w:hAnsi="Calibri" w:cs="Calibri"/>
          <w:color w:val="000000" w:themeColor="text1"/>
          <w:sz w:val="24"/>
          <w:szCs w:val="24"/>
        </w:rPr>
        <w:t>complete</w:t>
      </w:r>
      <w:r w:rsidR="0D47B38E" w:rsidRPr="2EA0D113">
        <w:rPr>
          <w:rFonts w:ascii="Calibri" w:eastAsia="Times New Roman" w:hAnsi="Calibri" w:cs="Calibri"/>
          <w:color w:val="000000" w:themeColor="text1"/>
          <w:sz w:val="24"/>
          <w:szCs w:val="24"/>
        </w:rPr>
        <w:t xml:space="preserve"> or opt</w:t>
      </w:r>
      <w:r w:rsidR="008B1390" w:rsidRPr="2EA0D113">
        <w:rPr>
          <w:rFonts w:ascii="Calibri" w:eastAsia="Times New Roman" w:hAnsi="Calibri" w:cs="Calibri"/>
          <w:color w:val="000000" w:themeColor="text1"/>
          <w:sz w:val="24"/>
          <w:szCs w:val="24"/>
        </w:rPr>
        <w:t>-</w:t>
      </w:r>
      <w:r w:rsidR="0D47B38E" w:rsidRPr="2EA0D113">
        <w:rPr>
          <w:rFonts w:ascii="Calibri" w:eastAsia="Times New Roman" w:hAnsi="Calibri" w:cs="Calibri"/>
          <w:color w:val="000000" w:themeColor="text1"/>
          <w:sz w:val="24"/>
          <w:szCs w:val="24"/>
        </w:rPr>
        <w:t>out of</w:t>
      </w:r>
      <w:r w:rsidR="00E834C0" w:rsidRPr="2EA0D113">
        <w:rPr>
          <w:rFonts w:ascii="Calibri" w:eastAsia="Times New Roman" w:hAnsi="Calibri" w:cs="Calibri"/>
          <w:color w:val="000000" w:themeColor="text1"/>
          <w:sz w:val="24"/>
          <w:szCs w:val="24"/>
        </w:rPr>
        <w:t xml:space="preserve"> their evaluation.  </w:t>
      </w:r>
      <w:r w:rsidR="70B1EBA8" w:rsidRPr="2EA0D113">
        <w:rPr>
          <w:rFonts w:ascii="Calibri" w:eastAsia="Times New Roman" w:hAnsi="Calibri" w:cs="Calibri"/>
          <w:color w:val="000000" w:themeColor="text1"/>
          <w:sz w:val="24"/>
          <w:szCs w:val="24"/>
        </w:rPr>
        <w:t>As a result, for</w:t>
      </w:r>
      <w:r w:rsidR="00E834C0" w:rsidRPr="2EA0D113">
        <w:rPr>
          <w:rFonts w:ascii="Calibri" w:eastAsia="Times New Roman" w:hAnsi="Calibri" w:cs="Calibri"/>
          <w:color w:val="000000" w:themeColor="text1"/>
          <w:sz w:val="24"/>
          <w:szCs w:val="24"/>
        </w:rPr>
        <w:t xml:space="preserve"> the first time, the online student response rate increased to 72</w:t>
      </w:r>
      <w:r w:rsidR="0020664C" w:rsidRPr="2EA0D113">
        <w:rPr>
          <w:rFonts w:ascii="Calibri" w:eastAsia="Times New Roman" w:hAnsi="Calibri" w:cs="Calibri"/>
          <w:color w:val="000000" w:themeColor="text1"/>
          <w:sz w:val="24"/>
          <w:szCs w:val="24"/>
        </w:rPr>
        <w:t>%</w:t>
      </w:r>
      <w:r w:rsidR="32B21539" w:rsidRPr="2EA0D113">
        <w:rPr>
          <w:rFonts w:ascii="Calibri" w:eastAsia="Times New Roman" w:hAnsi="Calibri" w:cs="Calibri"/>
          <w:color w:val="000000" w:themeColor="text1"/>
          <w:sz w:val="24"/>
          <w:szCs w:val="24"/>
        </w:rPr>
        <w:t>, which was better than paper-based response rates</w:t>
      </w:r>
      <w:r w:rsidR="00E834C0" w:rsidRPr="2EA0D113">
        <w:rPr>
          <w:rFonts w:ascii="Calibri" w:eastAsia="Times New Roman" w:hAnsi="Calibri" w:cs="Calibri"/>
          <w:color w:val="000000" w:themeColor="text1"/>
          <w:sz w:val="24"/>
          <w:szCs w:val="24"/>
        </w:rPr>
        <w:t xml:space="preserve">. </w:t>
      </w:r>
    </w:p>
    <w:p w14:paraId="3EB14585" w14:textId="77777777" w:rsidR="001D38AC" w:rsidRDefault="001D38AC" w:rsidP="009B6FE9">
      <w:pPr>
        <w:spacing w:after="0" w:line="240" w:lineRule="auto"/>
        <w:rPr>
          <w:rFonts w:ascii="Calibri" w:eastAsia="Times New Roman" w:hAnsi="Calibri" w:cs="Calibri"/>
          <w:color w:val="000000" w:themeColor="text1"/>
          <w:sz w:val="24"/>
          <w:szCs w:val="24"/>
        </w:rPr>
      </w:pPr>
    </w:p>
    <w:p w14:paraId="48515D92" w14:textId="5EEA80F2" w:rsidR="009B6FE9" w:rsidRDefault="007C6E99" w:rsidP="009B6FE9">
      <w:pPr>
        <w:spacing w:after="0" w:line="240" w:lineRule="auto"/>
        <w:rPr>
          <w:rFonts w:ascii="Calibri" w:eastAsia="Times New Roman" w:hAnsi="Calibri" w:cs="Calibri"/>
          <w:color w:val="000000" w:themeColor="text1"/>
          <w:sz w:val="24"/>
          <w:szCs w:val="24"/>
        </w:rPr>
      </w:pPr>
      <w:r w:rsidRPr="0D57D804">
        <w:rPr>
          <w:rFonts w:ascii="Calibri" w:eastAsia="Times New Roman" w:hAnsi="Calibri" w:cs="Calibri"/>
          <w:color w:val="000000" w:themeColor="text1"/>
          <w:sz w:val="24"/>
          <w:szCs w:val="24"/>
        </w:rPr>
        <w:t xml:space="preserve">As part of the pilot, we gathered feedback from faculty, students, and administrators. The response across the board was positive. However, students requested the removal of the grade book link in Canvas.  During the following winter 2020 semester, the link was removed.  </w:t>
      </w:r>
    </w:p>
    <w:p w14:paraId="59F09338" w14:textId="721F30A6" w:rsidR="00DC1909" w:rsidRDefault="5EDB0B27" w:rsidP="009B6FE9">
      <w:pPr>
        <w:spacing w:after="0" w:line="240" w:lineRule="auto"/>
        <w:rPr>
          <w:rFonts w:ascii="Calibri" w:eastAsia="Times New Roman" w:hAnsi="Calibri" w:cs="Calibri"/>
          <w:color w:val="000000" w:themeColor="text1"/>
          <w:sz w:val="24"/>
          <w:szCs w:val="24"/>
        </w:rPr>
      </w:pPr>
      <w:r>
        <w:br w:type="page"/>
      </w:r>
      <w:r w:rsidRPr="0D57D804">
        <w:rPr>
          <w:rFonts w:ascii="Calibri" w:eastAsia="Times New Roman" w:hAnsi="Calibri" w:cs="Calibri"/>
          <w:color w:val="000000" w:themeColor="text1"/>
          <w:sz w:val="24"/>
          <w:szCs w:val="24"/>
        </w:rPr>
        <w:lastRenderedPageBreak/>
        <w:t>Because of the Covid</w:t>
      </w:r>
      <w:r w:rsidR="007F1A16" w:rsidRPr="0D57D804">
        <w:rPr>
          <w:rFonts w:ascii="Calibri" w:eastAsia="Times New Roman" w:hAnsi="Calibri" w:cs="Calibri"/>
          <w:color w:val="000000" w:themeColor="text1"/>
          <w:sz w:val="24"/>
          <w:szCs w:val="24"/>
        </w:rPr>
        <w:t>-19</w:t>
      </w:r>
      <w:r w:rsidRPr="0D57D804">
        <w:rPr>
          <w:rFonts w:ascii="Calibri" w:eastAsia="Times New Roman" w:hAnsi="Calibri" w:cs="Calibri"/>
          <w:color w:val="000000" w:themeColor="text1"/>
          <w:sz w:val="24"/>
          <w:szCs w:val="24"/>
        </w:rPr>
        <w:t xml:space="preserve"> Pandemic, SET was unexpectedly moved online for the entire university during </w:t>
      </w:r>
      <w:r w:rsidR="008C05CA" w:rsidRPr="0D57D804">
        <w:rPr>
          <w:rFonts w:ascii="Calibri" w:eastAsia="Times New Roman" w:hAnsi="Calibri" w:cs="Calibri"/>
          <w:color w:val="000000" w:themeColor="text1"/>
          <w:sz w:val="24"/>
          <w:szCs w:val="24"/>
        </w:rPr>
        <w:t>w</w:t>
      </w:r>
      <w:r w:rsidRPr="0D57D804">
        <w:rPr>
          <w:rFonts w:ascii="Calibri" w:eastAsia="Times New Roman" w:hAnsi="Calibri" w:cs="Calibri"/>
          <w:color w:val="000000" w:themeColor="text1"/>
          <w:sz w:val="24"/>
          <w:szCs w:val="24"/>
        </w:rPr>
        <w:t>inter 2020.</w:t>
      </w:r>
      <w:r w:rsidR="10F48CB2" w:rsidRPr="0D57D804">
        <w:rPr>
          <w:rFonts w:ascii="Calibri" w:eastAsia="Times New Roman" w:hAnsi="Calibri" w:cs="Calibri"/>
          <w:color w:val="000000" w:themeColor="text1"/>
          <w:sz w:val="24"/>
          <w:szCs w:val="24"/>
        </w:rPr>
        <w:t xml:space="preserve"> </w:t>
      </w:r>
      <w:r w:rsidR="10FC37F4" w:rsidRPr="0D57D804">
        <w:rPr>
          <w:rFonts w:ascii="Calibri" w:eastAsia="Times New Roman" w:hAnsi="Calibri" w:cs="Calibri"/>
          <w:color w:val="000000" w:themeColor="text1"/>
          <w:sz w:val="24"/>
          <w:szCs w:val="24"/>
        </w:rPr>
        <w:t>The</w:t>
      </w:r>
      <w:r w:rsidR="00DC1909" w:rsidRPr="0D57D804">
        <w:rPr>
          <w:rFonts w:ascii="Calibri" w:eastAsia="Times New Roman" w:hAnsi="Calibri" w:cs="Calibri"/>
          <w:color w:val="000000" w:themeColor="text1"/>
          <w:sz w:val="24"/>
          <w:szCs w:val="24"/>
        </w:rPr>
        <w:t xml:space="preserve"> overall response rate </w:t>
      </w:r>
      <w:r w:rsidR="008C05CA" w:rsidRPr="0D57D804">
        <w:rPr>
          <w:rFonts w:ascii="Calibri" w:eastAsia="Times New Roman" w:hAnsi="Calibri" w:cs="Calibri"/>
          <w:color w:val="000000" w:themeColor="text1"/>
          <w:sz w:val="24"/>
          <w:szCs w:val="24"/>
        </w:rPr>
        <w:t xml:space="preserve">was </w:t>
      </w:r>
      <w:r w:rsidR="00DC1909" w:rsidRPr="0D57D804">
        <w:rPr>
          <w:rFonts w:ascii="Calibri" w:eastAsia="Times New Roman" w:hAnsi="Calibri" w:cs="Calibri"/>
          <w:color w:val="000000" w:themeColor="text1"/>
          <w:sz w:val="24"/>
          <w:szCs w:val="24"/>
        </w:rPr>
        <w:t>41%</w:t>
      </w:r>
      <w:r w:rsidR="008C05CA" w:rsidRPr="0D57D804">
        <w:rPr>
          <w:rFonts w:ascii="Calibri" w:eastAsia="Times New Roman" w:hAnsi="Calibri" w:cs="Calibri"/>
          <w:color w:val="000000" w:themeColor="text1"/>
          <w:sz w:val="24"/>
          <w:szCs w:val="24"/>
        </w:rPr>
        <w:t xml:space="preserve">. </w:t>
      </w:r>
      <w:r w:rsidR="008B1390" w:rsidRPr="0D57D804">
        <w:rPr>
          <w:rFonts w:ascii="Calibri" w:eastAsia="Times New Roman" w:hAnsi="Calibri" w:cs="Calibri"/>
          <w:color w:val="000000" w:themeColor="text1"/>
          <w:sz w:val="24"/>
          <w:szCs w:val="24"/>
        </w:rPr>
        <w:t xml:space="preserve"> </w:t>
      </w:r>
      <w:r w:rsidR="63B8B463" w:rsidRPr="0D57D804">
        <w:rPr>
          <w:rFonts w:ascii="Calibri" w:eastAsia="Times New Roman" w:hAnsi="Calibri" w:cs="Calibri"/>
          <w:color w:val="000000" w:themeColor="text1"/>
          <w:sz w:val="24"/>
          <w:szCs w:val="24"/>
        </w:rPr>
        <w:t xml:space="preserve">Although it was a </w:t>
      </w:r>
      <w:r w:rsidR="007C6E99" w:rsidRPr="0D57D804">
        <w:rPr>
          <w:rFonts w:ascii="Calibri" w:eastAsia="Times New Roman" w:hAnsi="Calibri" w:cs="Calibri"/>
          <w:color w:val="000000" w:themeColor="text1"/>
          <w:sz w:val="24"/>
          <w:szCs w:val="24"/>
        </w:rPr>
        <w:t>rare</w:t>
      </w:r>
      <w:r w:rsidR="63B8B463" w:rsidRPr="0D57D804">
        <w:rPr>
          <w:rFonts w:ascii="Calibri" w:eastAsia="Times New Roman" w:hAnsi="Calibri" w:cs="Calibri"/>
          <w:color w:val="000000" w:themeColor="text1"/>
          <w:sz w:val="24"/>
          <w:szCs w:val="24"/>
        </w:rPr>
        <w:t xml:space="preserve"> semester, in which traditional courses were evaluated online for the first time, we still </w:t>
      </w:r>
      <w:r w:rsidR="1D1D1550" w:rsidRPr="0D57D804">
        <w:rPr>
          <w:rFonts w:ascii="Calibri" w:eastAsia="Times New Roman" w:hAnsi="Calibri" w:cs="Calibri"/>
          <w:color w:val="000000" w:themeColor="text1"/>
          <w:sz w:val="24"/>
          <w:szCs w:val="24"/>
        </w:rPr>
        <w:t>believe that the grade</w:t>
      </w:r>
      <w:r w:rsidR="007C6E99" w:rsidRPr="0D57D804">
        <w:rPr>
          <w:rFonts w:ascii="Calibri" w:eastAsia="Times New Roman" w:hAnsi="Calibri" w:cs="Calibri"/>
          <w:color w:val="000000" w:themeColor="text1"/>
          <w:sz w:val="24"/>
          <w:szCs w:val="24"/>
        </w:rPr>
        <w:t xml:space="preserve"> </w:t>
      </w:r>
      <w:r w:rsidR="1D1D1550" w:rsidRPr="0D57D804">
        <w:rPr>
          <w:rFonts w:ascii="Calibri" w:eastAsia="Times New Roman" w:hAnsi="Calibri" w:cs="Calibri"/>
          <w:color w:val="000000" w:themeColor="text1"/>
          <w:sz w:val="24"/>
          <w:szCs w:val="24"/>
        </w:rPr>
        <w:t xml:space="preserve">book link was an essential ingredient for </w:t>
      </w:r>
      <w:r w:rsidR="2D6946B2" w:rsidRPr="0D57D804">
        <w:rPr>
          <w:rFonts w:ascii="Calibri" w:eastAsia="Times New Roman" w:hAnsi="Calibri" w:cs="Calibri"/>
          <w:color w:val="000000" w:themeColor="text1"/>
          <w:sz w:val="24"/>
          <w:szCs w:val="24"/>
        </w:rPr>
        <w:t>response rate improvement</w:t>
      </w:r>
      <w:r w:rsidR="00D47753" w:rsidRPr="0D57D804">
        <w:rPr>
          <w:rFonts w:ascii="Calibri" w:eastAsia="Times New Roman" w:hAnsi="Calibri" w:cs="Calibri"/>
          <w:color w:val="000000" w:themeColor="text1"/>
          <w:sz w:val="24"/>
          <w:szCs w:val="24"/>
        </w:rPr>
        <w:t xml:space="preserve">. </w:t>
      </w:r>
    </w:p>
    <w:p w14:paraId="37930B02" w14:textId="09C2B738" w:rsidR="00070423" w:rsidRDefault="00070423" w:rsidP="009B6FE9">
      <w:pPr>
        <w:spacing w:after="0" w:line="240" w:lineRule="auto"/>
        <w:rPr>
          <w:rFonts w:ascii="Calibri" w:eastAsia="Times New Roman" w:hAnsi="Calibri" w:cs="Calibri"/>
          <w:color w:val="000000" w:themeColor="text1"/>
          <w:sz w:val="24"/>
          <w:szCs w:val="24"/>
        </w:rPr>
      </w:pPr>
    </w:p>
    <w:p w14:paraId="2BF1D319" w14:textId="536B7E1E" w:rsidR="00E04F64" w:rsidRDefault="009F7FF0" w:rsidP="009B6FE9">
      <w:pPr>
        <w:spacing w:after="0" w:line="240" w:lineRule="auto"/>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We continue to be in the midst of the </w:t>
      </w:r>
      <w:r w:rsidR="00D034A4" w:rsidRPr="00D034A4">
        <w:rPr>
          <w:rFonts w:ascii="Calibri" w:eastAsia="Times New Roman" w:hAnsi="Calibri" w:cs="Calibri"/>
          <w:color w:val="000000" w:themeColor="text1"/>
          <w:sz w:val="24"/>
          <w:szCs w:val="24"/>
        </w:rPr>
        <w:t xml:space="preserve">Covid-19 Pandemic </w:t>
      </w:r>
      <w:r>
        <w:rPr>
          <w:rFonts w:ascii="Calibri" w:eastAsia="Times New Roman" w:hAnsi="Calibri" w:cs="Calibri"/>
          <w:color w:val="000000" w:themeColor="text1"/>
          <w:sz w:val="24"/>
          <w:szCs w:val="24"/>
        </w:rPr>
        <w:t xml:space="preserve">for winter 2021. </w:t>
      </w:r>
      <w:r w:rsidR="00D034A4" w:rsidRPr="00D034A4">
        <w:rPr>
          <w:rFonts w:ascii="Calibri" w:eastAsia="Times New Roman" w:hAnsi="Calibri" w:cs="Calibri"/>
          <w:color w:val="000000" w:themeColor="text1"/>
          <w:sz w:val="24"/>
          <w:szCs w:val="24"/>
        </w:rPr>
        <w:t xml:space="preserve">All traditional and </w:t>
      </w:r>
      <w:r w:rsidR="00D51D22">
        <w:rPr>
          <w:rFonts w:ascii="Calibri" w:eastAsia="Times New Roman" w:hAnsi="Calibri" w:cs="Calibri"/>
          <w:color w:val="000000" w:themeColor="text1"/>
          <w:sz w:val="24"/>
          <w:szCs w:val="24"/>
        </w:rPr>
        <w:t xml:space="preserve">early-ending </w:t>
      </w:r>
      <w:r w:rsidR="00D034A4" w:rsidRPr="00D034A4">
        <w:rPr>
          <w:rFonts w:ascii="Calibri" w:eastAsia="Times New Roman" w:hAnsi="Calibri" w:cs="Calibri"/>
          <w:color w:val="000000" w:themeColor="text1"/>
          <w:sz w:val="24"/>
          <w:szCs w:val="24"/>
        </w:rPr>
        <w:t>courses were processed online. Once again</w:t>
      </w:r>
      <w:r w:rsidR="00D034A4">
        <w:rPr>
          <w:rFonts w:ascii="Calibri" w:eastAsia="Times New Roman" w:hAnsi="Calibri" w:cs="Calibri"/>
          <w:color w:val="000000" w:themeColor="text1"/>
          <w:sz w:val="24"/>
          <w:szCs w:val="24"/>
        </w:rPr>
        <w:t>,</w:t>
      </w:r>
      <w:r w:rsidR="00D034A4" w:rsidRPr="00D034A4">
        <w:rPr>
          <w:rFonts w:ascii="Calibri" w:eastAsia="Times New Roman" w:hAnsi="Calibri" w:cs="Calibri"/>
          <w:color w:val="000000" w:themeColor="text1"/>
          <w:sz w:val="24"/>
          <w:szCs w:val="24"/>
        </w:rPr>
        <w:t xml:space="preserve"> the grade book was used during the evaluation period</w:t>
      </w:r>
      <w:r>
        <w:rPr>
          <w:rFonts w:ascii="Calibri" w:eastAsia="Times New Roman" w:hAnsi="Calibri" w:cs="Calibri"/>
          <w:color w:val="000000" w:themeColor="text1"/>
          <w:sz w:val="24"/>
          <w:szCs w:val="24"/>
        </w:rPr>
        <w:t xml:space="preserve"> leading to an increased response rate of 51%</w:t>
      </w:r>
      <w:r w:rsidR="00D034A4" w:rsidRPr="00D034A4">
        <w:rPr>
          <w:rFonts w:ascii="Calibri" w:eastAsia="Times New Roman" w:hAnsi="Calibri" w:cs="Calibri"/>
          <w:color w:val="000000" w:themeColor="text1"/>
          <w:sz w:val="24"/>
          <w:szCs w:val="24"/>
        </w:rPr>
        <w:t>.</w:t>
      </w:r>
    </w:p>
    <w:p w14:paraId="652AC8A7" w14:textId="77777777" w:rsidR="00D034A4" w:rsidRDefault="00D034A4" w:rsidP="009B6FE9">
      <w:pPr>
        <w:spacing w:after="0" w:line="240" w:lineRule="auto"/>
        <w:rPr>
          <w:rFonts w:ascii="Calibri" w:eastAsia="Times New Roman" w:hAnsi="Calibri" w:cs="Calibri"/>
          <w:color w:val="000000"/>
          <w:sz w:val="24"/>
          <w:szCs w:val="24"/>
        </w:rPr>
      </w:pPr>
    </w:p>
    <w:p w14:paraId="54C5FA0A" w14:textId="384B279B" w:rsidR="008E410A" w:rsidRDefault="002F36B4" w:rsidP="009B6FE9">
      <w:pPr>
        <w:spacing w:after="0" w:line="240" w:lineRule="auto"/>
        <w:rPr>
          <w:rFonts w:ascii="Calibri" w:eastAsia="Times New Roman" w:hAnsi="Calibri" w:cs="Calibri"/>
          <w:color w:val="000000" w:themeColor="text1"/>
          <w:sz w:val="24"/>
          <w:szCs w:val="24"/>
        </w:rPr>
      </w:pPr>
      <w:r w:rsidRPr="5BE25676">
        <w:rPr>
          <w:rFonts w:ascii="Calibri" w:eastAsia="Times New Roman" w:hAnsi="Calibri" w:cs="Calibri"/>
          <w:color w:val="000000" w:themeColor="text1"/>
          <w:sz w:val="24"/>
          <w:szCs w:val="24"/>
        </w:rPr>
        <w:t xml:space="preserve">These changes over the years indicate that SET response rates are related to different circumstances. Although online-based SET does not yet match paper-based SET response rates, the difference between the two </w:t>
      </w:r>
      <w:r w:rsidR="008D1285" w:rsidRPr="5BE25676">
        <w:rPr>
          <w:rFonts w:ascii="Calibri" w:eastAsia="Times New Roman" w:hAnsi="Calibri" w:cs="Calibri"/>
          <w:color w:val="000000" w:themeColor="text1"/>
          <w:sz w:val="24"/>
          <w:szCs w:val="24"/>
        </w:rPr>
        <w:t>is getting smaller.</w:t>
      </w:r>
    </w:p>
    <w:p w14:paraId="2333AF59" w14:textId="10DA9DA3" w:rsidR="00A97841" w:rsidRDefault="00A97841" w:rsidP="009B6FE9">
      <w:pPr>
        <w:spacing w:after="0" w:line="240" w:lineRule="auto"/>
        <w:rPr>
          <w:rFonts w:ascii="Calibri" w:eastAsia="Times New Roman" w:hAnsi="Calibri" w:cs="Calibri"/>
          <w:color w:val="000000" w:themeColor="text1"/>
          <w:sz w:val="24"/>
          <w:szCs w:val="24"/>
        </w:rPr>
      </w:pPr>
    </w:p>
    <w:p w14:paraId="5F7E22D5" w14:textId="773C2971" w:rsidR="0D57D804" w:rsidRDefault="0D57D804"/>
    <w:p w14:paraId="403BD8EA" w14:textId="31C2D689" w:rsidR="001A26D4" w:rsidRDefault="001A26D4" w:rsidP="2F2C845E">
      <w:pPr>
        <w:pStyle w:val="Heading2"/>
        <w:spacing w:before="0" w:line="360" w:lineRule="auto"/>
        <w:jc w:val="center"/>
        <w:rPr>
          <w:rStyle w:val="Heading2Char"/>
        </w:rPr>
      </w:pPr>
      <w:r w:rsidRPr="2F2C845E">
        <w:rPr>
          <w:rStyle w:val="Heading2Char"/>
        </w:rPr>
        <w:t>Sample Size Over the Years</w:t>
      </w:r>
    </w:p>
    <w:p w14:paraId="5CB6B288" w14:textId="77777777" w:rsidR="001A26D4" w:rsidRDefault="001A26D4" w:rsidP="2F2C845E">
      <w:pPr>
        <w:pStyle w:val="Heading2"/>
        <w:spacing w:before="0" w:line="360" w:lineRule="auto"/>
        <w:jc w:val="center"/>
        <w:rPr>
          <w:rStyle w:val="Heading2Char"/>
        </w:rPr>
      </w:pPr>
      <w:r w:rsidRPr="2F2C845E">
        <w:rPr>
          <w:rStyle w:val="Heading2Char"/>
        </w:rPr>
        <w:t>(n = Number of Students Enrolled)</w:t>
      </w:r>
    </w:p>
    <w:p w14:paraId="0D0B940D" w14:textId="77777777" w:rsidR="00E834C0" w:rsidRDefault="00B70065" w:rsidP="2F2C845E">
      <w:pPr>
        <w:jc w:val="center"/>
      </w:pPr>
      <w:r>
        <w:tab/>
      </w:r>
      <w:r>
        <w:tab/>
      </w:r>
      <w:r>
        <w:tab/>
      </w:r>
      <w:r>
        <w:tab/>
      </w:r>
      <w:r>
        <w:tab/>
      </w:r>
      <w:r>
        <w:tab/>
      </w:r>
      <w:r>
        <w:tab/>
      </w:r>
      <w:r>
        <w:tab/>
      </w:r>
      <w:r>
        <w:tab/>
      </w:r>
    </w:p>
    <w:tbl>
      <w:tblPr>
        <w:tblStyle w:val="PlainTable3"/>
        <w:tblpPr w:leftFromText="180" w:rightFromText="180" w:vertAnchor="text" w:tblpXSpec="center" w:tblpY="1"/>
        <w:tblOverlap w:val="never"/>
        <w:tblW w:w="8322" w:type="dxa"/>
        <w:jc w:val="center"/>
        <w:tblLook w:val="04A0" w:firstRow="1" w:lastRow="0" w:firstColumn="1" w:lastColumn="0" w:noHBand="0" w:noVBand="1"/>
      </w:tblPr>
      <w:tblGrid>
        <w:gridCol w:w="1531"/>
        <w:gridCol w:w="2182"/>
        <w:gridCol w:w="1113"/>
        <w:gridCol w:w="1912"/>
        <w:gridCol w:w="1584"/>
      </w:tblGrid>
      <w:tr w:rsidR="001A26D4" w14:paraId="5DC86588" w14:textId="77777777" w:rsidTr="2F2C845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42" w:type="dxa"/>
          </w:tcPr>
          <w:p w14:paraId="3DEEC669" w14:textId="77777777" w:rsidR="001A26D4" w:rsidRDefault="001A26D4" w:rsidP="00DE5915">
            <w:pPr>
              <w:ind w:left="450" w:hanging="450"/>
              <w:jc w:val="center"/>
            </w:pPr>
          </w:p>
          <w:p w14:paraId="3656B9AB" w14:textId="77777777" w:rsidR="001A26D4" w:rsidRDefault="001A26D4" w:rsidP="00DE5915">
            <w:pPr>
              <w:ind w:left="450" w:hanging="450"/>
              <w:jc w:val="center"/>
            </w:pPr>
          </w:p>
          <w:p w14:paraId="77F560CF" w14:textId="77777777" w:rsidR="001A26D4" w:rsidRDefault="001A26D4" w:rsidP="00DE5915">
            <w:pPr>
              <w:ind w:left="450" w:hanging="450"/>
              <w:jc w:val="center"/>
            </w:pPr>
            <w:r>
              <w:t>Semesters</w:t>
            </w:r>
          </w:p>
        </w:tc>
        <w:tc>
          <w:tcPr>
            <w:tcW w:w="2220" w:type="dxa"/>
          </w:tcPr>
          <w:p w14:paraId="09A0C5CC" w14:textId="77777777" w:rsidR="001A26D4" w:rsidRDefault="001A26D4" w:rsidP="00DE5915">
            <w:pPr>
              <w:ind w:left="450" w:hanging="450"/>
              <w:jc w:val="center"/>
              <w:cnfStyle w:val="100000000000" w:firstRow="1" w:lastRow="0" w:firstColumn="0" w:lastColumn="0" w:oddVBand="0" w:evenVBand="0" w:oddHBand="0" w:evenHBand="0" w:firstRowFirstColumn="0" w:firstRowLastColumn="0" w:lastRowFirstColumn="0" w:lastRowLastColumn="0"/>
            </w:pPr>
            <w:r>
              <w:t>SET</w:t>
            </w:r>
          </w:p>
          <w:p w14:paraId="1B3E8642" w14:textId="467D5CDA" w:rsidR="001A26D4" w:rsidRDefault="001A26D4" w:rsidP="00DE5915">
            <w:pPr>
              <w:ind w:left="450" w:hanging="450"/>
              <w:jc w:val="center"/>
              <w:cnfStyle w:val="100000000000" w:firstRow="1" w:lastRow="0" w:firstColumn="0" w:lastColumn="0" w:oddVBand="0" w:evenVBand="0" w:oddHBand="0" w:evenHBand="0" w:firstRowFirstColumn="0" w:firstRowLastColumn="0" w:lastRowFirstColumn="0" w:lastRowLastColumn="0"/>
            </w:pPr>
            <w:r>
              <w:t>Paper</w:t>
            </w:r>
          </w:p>
          <w:p w14:paraId="17731174" w14:textId="307D5E1F" w:rsidR="001A26D4" w:rsidRDefault="001A26D4" w:rsidP="00DE5915">
            <w:pPr>
              <w:ind w:left="450" w:hanging="450"/>
              <w:jc w:val="center"/>
              <w:cnfStyle w:val="100000000000" w:firstRow="1" w:lastRow="0" w:firstColumn="0" w:lastColumn="0" w:oddVBand="0" w:evenVBand="0" w:oddHBand="0" w:evenHBand="0" w:firstRowFirstColumn="0" w:firstRowLastColumn="0" w:lastRowFirstColumn="0" w:lastRowLastColumn="0"/>
            </w:pPr>
            <w:r>
              <w:t>based</w:t>
            </w:r>
          </w:p>
          <w:p w14:paraId="3FB8B379" w14:textId="77777777" w:rsidR="001A26D4" w:rsidRDefault="001A26D4" w:rsidP="00E834C0">
            <w:pPr>
              <w:ind w:left="450" w:hanging="450"/>
              <w:jc w:val="center"/>
              <w:cnfStyle w:val="100000000000" w:firstRow="1" w:lastRow="0" w:firstColumn="0" w:lastColumn="0" w:oddVBand="0" w:evenVBand="0" w:oddHBand="0" w:evenHBand="0" w:firstRowFirstColumn="0" w:firstRowLastColumn="0" w:lastRowFirstColumn="0" w:lastRowLastColumn="0"/>
            </w:pPr>
            <w:r>
              <w:t>n</w:t>
            </w:r>
          </w:p>
        </w:tc>
        <w:tc>
          <w:tcPr>
            <w:tcW w:w="1050" w:type="dxa"/>
          </w:tcPr>
          <w:p w14:paraId="58DE7529" w14:textId="3EA3D1B9" w:rsidR="001A26D4" w:rsidRDefault="001A26D4" w:rsidP="00B70065">
            <w:pPr>
              <w:ind w:left="450" w:hanging="450"/>
              <w:jc w:val="center"/>
              <w:cnfStyle w:val="100000000000" w:firstRow="1" w:lastRow="0" w:firstColumn="0" w:lastColumn="0" w:oddVBand="0" w:evenVBand="0" w:oddHBand="0" w:evenHBand="0" w:firstRowFirstColumn="0" w:firstRowLastColumn="0" w:lastRowFirstColumn="0" w:lastRowLastColumn="0"/>
            </w:pPr>
          </w:p>
          <w:p w14:paraId="12B5B6A8" w14:textId="3B20BE72" w:rsidR="001A26D4" w:rsidRDefault="75C711B5" w:rsidP="2F2C845E">
            <w:pPr>
              <w:ind w:left="450" w:hanging="450"/>
              <w:jc w:val="center"/>
              <w:cnfStyle w:val="100000000000" w:firstRow="1" w:lastRow="0" w:firstColumn="0" w:lastColumn="0" w:oddVBand="0" w:evenVBand="0" w:oddHBand="0" w:evenHBand="0" w:firstRowFirstColumn="0" w:firstRowLastColumn="0" w:lastRowFirstColumn="0" w:lastRowLastColumn="0"/>
            </w:pPr>
            <w:r>
              <w:t>Te&amp;RS</w:t>
            </w:r>
          </w:p>
          <w:p w14:paraId="679B0BE2" w14:textId="2DE5C306" w:rsidR="001A26D4" w:rsidRDefault="75C711B5" w:rsidP="2F2C845E">
            <w:pPr>
              <w:ind w:left="450" w:hanging="450"/>
              <w:jc w:val="center"/>
              <w:cnfStyle w:val="100000000000" w:firstRow="1" w:lastRow="0" w:firstColumn="0" w:lastColumn="0" w:oddVBand="0" w:evenVBand="0" w:oddHBand="0" w:evenHBand="0" w:firstRowFirstColumn="0" w:firstRowLastColumn="0" w:lastRowFirstColumn="0" w:lastRowLastColumn="0"/>
            </w:pPr>
            <w:r>
              <w:t>Online</w:t>
            </w:r>
          </w:p>
          <w:p w14:paraId="36F0E267" w14:textId="1F367BD6" w:rsidR="001A26D4" w:rsidRDefault="75C711B5" w:rsidP="2F2C845E">
            <w:pPr>
              <w:ind w:left="450" w:hanging="450"/>
              <w:jc w:val="center"/>
              <w:cnfStyle w:val="100000000000" w:firstRow="1" w:lastRow="0" w:firstColumn="0" w:lastColumn="0" w:oddVBand="0" w:evenVBand="0" w:oddHBand="0" w:evenHBand="0" w:firstRowFirstColumn="0" w:firstRowLastColumn="0" w:lastRowFirstColumn="0" w:lastRowLastColumn="0"/>
            </w:pPr>
            <w:r>
              <w:t>N</w:t>
            </w:r>
          </w:p>
        </w:tc>
        <w:tc>
          <w:tcPr>
            <w:tcW w:w="1920" w:type="dxa"/>
          </w:tcPr>
          <w:p w14:paraId="644E1237" w14:textId="66AE0D7E" w:rsidR="009C1874" w:rsidRDefault="145CC843" w:rsidP="1DA98C41">
            <w:pPr>
              <w:ind w:left="450" w:hanging="450"/>
              <w:jc w:val="center"/>
              <w:cnfStyle w:val="100000000000" w:firstRow="1" w:lastRow="0" w:firstColumn="0" w:lastColumn="0" w:oddVBand="0" w:evenVBand="0" w:oddHBand="0" w:evenHBand="0" w:firstRowFirstColumn="0" w:firstRowLastColumn="0" w:lastRowFirstColumn="0" w:lastRowLastColumn="0"/>
            </w:pPr>
            <w:r>
              <w:t xml:space="preserve">   </w:t>
            </w:r>
          </w:p>
          <w:p w14:paraId="0060CC1D" w14:textId="00A1F91B" w:rsidR="001A26D4" w:rsidRDefault="5CB864D1" w:rsidP="1DA98C41">
            <w:pPr>
              <w:ind w:left="450" w:hanging="450"/>
              <w:jc w:val="center"/>
              <w:cnfStyle w:val="100000000000" w:firstRow="1" w:lastRow="0" w:firstColumn="0" w:lastColumn="0" w:oddVBand="0" w:evenVBand="0" w:oddHBand="0" w:evenHBand="0" w:firstRowFirstColumn="0" w:firstRowLastColumn="0" w:lastRowFirstColumn="0" w:lastRowLastColumn="0"/>
            </w:pPr>
            <w:r>
              <w:t xml:space="preserve">   </w:t>
            </w:r>
            <w:r w:rsidR="75DCC9CF">
              <w:t>Qualtrics</w:t>
            </w:r>
          </w:p>
          <w:p w14:paraId="3EE0A91B" w14:textId="61E69808" w:rsidR="75DCC9CF" w:rsidRDefault="75DCC9CF" w:rsidP="2F2C845E">
            <w:pPr>
              <w:ind w:left="450" w:hanging="450"/>
              <w:jc w:val="center"/>
              <w:cnfStyle w:val="100000000000" w:firstRow="1" w:lastRow="0" w:firstColumn="0" w:lastColumn="0" w:oddVBand="0" w:evenVBand="0" w:oddHBand="0" w:evenHBand="0" w:firstRowFirstColumn="0" w:firstRowLastColumn="0" w:lastRowFirstColumn="0" w:lastRowLastColumn="0"/>
            </w:pPr>
            <w:r>
              <w:t>Online</w:t>
            </w:r>
          </w:p>
          <w:p w14:paraId="0F081239" w14:textId="754455B1" w:rsidR="001A26D4" w:rsidRDefault="145CC843" w:rsidP="00987CEF">
            <w:pPr>
              <w:ind w:left="450" w:hanging="450"/>
              <w:cnfStyle w:val="100000000000" w:firstRow="1" w:lastRow="0" w:firstColumn="0" w:lastColumn="0" w:oddVBand="0" w:evenVBand="0" w:oddHBand="0" w:evenHBand="0" w:firstRowFirstColumn="0" w:firstRowLastColumn="0" w:lastRowFirstColumn="0" w:lastRowLastColumn="0"/>
            </w:pPr>
            <w:r>
              <w:t xml:space="preserve">       </w:t>
            </w:r>
            <w:r w:rsidR="0F0A2EBB">
              <w:t xml:space="preserve">     </w:t>
            </w:r>
            <w:r w:rsidR="79CC9F98">
              <w:t xml:space="preserve">     </w:t>
            </w:r>
            <w:r w:rsidR="0F0A2EBB">
              <w:t>n</w:t>
            </w:r>
          </w:p>
        </w:tc>
        <w:tc>
          <w:tcPr>
            <w:tcW w:w="1590" w:type="dxa"/>
          </w:tcPr>
          <w:p w14:paraId="0A2B3A92" w14:textId="27D0F4E3" w:rsidR="001A26D4" w:rsidRDefault="6AD22E18" w:rsidP="00DE5915">
            <w:pPr>
              <w:ind w:left="450" w:hanging="450"/>
              <w:jc w:val="center"/>
              <w:cnfStyle w:val="100000000000" w:firstRow="1" w:lastRow="0" w:firstColumn="0" w:lastColumn="0" w:oddVBand="0" w:evenVBand="0" w:oddHBand="0" w:evenHBand="0" w:firstRowFirstColumn="0" w:firstRowLastColumn="0" w:lastRowFirstColumn="0" w:lastRowLastColumn="0"/>
            </w:pPr>
            <w:r>
              <w:t xml:space="preserve">Explorance </w:t>
            </w:r>
          </w:p>
          <w:p w14:paraId="2B744D00" w14:textId="04309DB2" w:rsidR="001A26D4" w:rsidRDefault="00E834C0" w:rsidP="00DE5915">
            <w:pPr>
              <w:ind w:left="450" w:hanging="450"/>
              <w:jc w:val="center"/>
              <w:cnfStyle w:val="100000000000" w:firstRow="1" w:lastRow="0" w:firstColumn="0" w:lastColumn="0" w:oddVBand="0" w:evenVBand="0" w:oddHBand="0" w:evenHBand="0" w:firstRowFirstColumn="0" w:firstRowLastColumn="0" w:lastRowFirstColumn="0" w:lastRowLastColumn="0"/>
            </w:pPr>
            <w:r>
              <w:t>Blue</w:t>
            </w:r>
            <w:r w:rsidR="001A26D4">
              <w:t xml:space="preserve"> </w:t>
            </w:r>
          </w:p>
          <w:p w14:paraId="7884AA62" w14:textId="77777777" w:rsidR="001A26D4" w:rsidRDefault="00E834C0" w:rsidP="00DE5915">
            <w:pPr>
              <w:ind w:left="450" w:hanging="450"/>
              <w:jc w:val="center"/>
              <w:cnfStyle w:val="100000000000" w:firstRow="1" w:lastRow="0" w:firstColumn="0" w:lastColumn="0" w:oddVBand="0" w:evenVBand="0" w:oddHBand="0" w:evenHBand="0" w:firstRowFirstColumn="0" w:firstRowLastColumn="0" w:lastRowFirstColumn="0" w:lastRowLastColumn="0"/>
            </w:pPr>
            <w:r>
              <w:t>Online</w:t>
            </w:r>
          </w:p>
          <w:p w14:paraId="1C46A445" w14:textId="77777777" w:rsidR="001A26D4" w:rsidRDefault="001A26D4" w:rsidP="00E834C0">
            <w:pPr>
              <w:ind w:left="450" w:hanging="450"/>
              <w:jc w:val="center"/>
              <w:cnfStyle w:val="100000000000" w:firstRow="1" w:lastRow="0" w:firstColumn="0" w:lastColumn="0" w:oddVBand="0" w:evenVBand="0" w:oddHBand="0" w:evenHBand="0" w:firstRowFirstColumn="0" w:firstRowLastColumn="0" w:lastRowFirstColumn="0" w:lastRowLastColumn="0"/>
            </w:pPr>
            <w:r>
              <w:t>n</w:t>
            </w:r>
          </w:p>
        </w:tc>
      </w:tr>
      <w:tr w:rsidR="001A26D4" w14:paraId="3D51F88D" w14:textId="77777777" w:rsidTr="2F2C84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2" w:type="dxa"/>
          </w:tcPr>
          <w:p w14:paraId="6E947BB9" w14:textId="77777777" w:rsidR="001A26D4" w:rsidRDefault="001A26D4" w:rsidP="00DE5915">
            <w:pPr>
              <w:ind w:left="450" w:hanging="450"/>
              <w:jc w:val="center"/>
            </w:pPr>
            <w:r>
              <w:t>W2011</w:t>
            </w:r>
          </w:p>
        </w:tc>
        <w:tc>
          <w:tcPr>
            <w:tcW w:w="2220" w:type="dxa"/>
          </w:tcPr>
          <w:p w14:paraId="30E0B0FD"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50704</w:t>
            </w:r>
          </w:p>
        </w:tc>
        <w:tc>
          <w:tcPr>
            <w:tcW w:w="1050" w:type="dxa"/>
          </w:tcPr>
          <w:p w14:paraId="4375B8DC" w14:textId="651C1021" w:rsidR="001A26D4" w:rsidRDefault="00143287" w:rsidP="00DE5915">
            <w:pPr>
              <w:ind w:left="450" w:hanging="450"/>
              <w:jc w:val="center"/>
              <w:cnfStyle w:val="000000100000" w:firstRow="0" w:lastRow="0" w:firstColumn="0" w:lastColumn="0" w:oddVBand="0" w:evenVBand="0" w:oddHBand="1" w:evenHBand="0" w:firstRowFirstColumn="0" w:firstRowLastColumn="0" w:lastRowFirstColumn="0" w:lastRowLastColumn="0"/>
            </w:pPr>
            <w:r>
              <w:t xml:space="preserve"> </w:t>
            </w:r>
            <w:r w:rsidR="001A26D4">
              <w:t>7303</w:t>
            </w:r>
          </w:p>
        </w:tc>
        <w:tc>
          <w:tcPr>
            <w:tcW w:w="1920" w:type="dxa"/>
          </w:tcPr>
          <w:p w14:paraId="680408FD"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c>
          <w:tcPr>
            <w:tcW w:w="1590" w:type="dxa"/>
          </w:tcPr>
          <w:p w14:paraId="23FA389C"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r>
      <w:tr w:rsidR="001A26D4" w14:paraId="6C868E49" w14:textId="77777777" w:rsidTr="2F2C845E">
        <w:trPr>
          <w:jc w:val="center"/>
        </w:trPr>
        <w:tc>
          <w:tcPr>
            <w:cnfStyle w:val="001000000000" w:firstRow="0" w:lastRow="0" w:firstColumn="1" w:lastColumn="0" w:oddVBand="0" w:evenVBand="0" w:oddHBand="0" w:evenHBand="0" w:firstRowFirstColumn="0" w:firstRowLastColumn="0" w:lastRowFirstColumn="0" w:lastRowLastColumn="0"/>
            <w:tcW w:w="1542" w:type="dxa"/>
          </w:tcPr>
          <w:p w14:paraId="4551F616" w14:textId="77777777" w:rsidR="001A26D4" w:rsidRDefault="001A26D4" w:rsidP="00DE5915">
            <w:pPr>
              <w:ind w:left="450" w:hanging="450"/>
              <w:jc w:val="center"/>
            </w:pPr>
            <w:r>
              <w:t>W2012</w:t>
            </w:r>
          </w:p>
        </w:tc>
        <w:tc>
          <w:tcPr>
            <w:tcW w:w="2220" w:type="dxa"/>
          </w:tcPr>
          <w:p w14:paraId="063C9122"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50946</w:t>
            </w:r>
          </w:p>
        </w:tc>
        <w:tc>
          <w:tcPr>
            <w:tcW w:w="1050" w:type="dxa"/>
          </w:tcPr>
          <w:p w14:paraId="5E0600AD"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10976</w:t>
            </w:r>
          </w:p>
        </w:tc>
        <w:tc>
          <w:tcPr>
            <w:tcW w:w="1920" w:type="dxa"/>
          </w:tcPr>
          <w:p w14:paraId="56A9C498"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w:t>
            </w:r>
          </w:p>
        </w:tc>
        <w:tc>
          <w:tcPr>
            <w:tcW w:w="1590" w:type="dxa"/>
          </w:tcPr>
          <w:p w14:paraId="5FE80228"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w:t>
            </w:r>
          </w:p>
        </w:tc>
      </w:tr>
      <w:tr w:rsidR="001A26D4" w14:paraId="41C4AF2D" w14:textId="77777777" w:rsidTr="2F2C84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2" w:type="dxa"/>
          </w:tcPr>
          <w:p w14:paraId="6D864F4D" w14:textId="77777777" w:rsidR="001A26D4" w:rsidRDefault="001A26D4" w:rsidP="00DE5915">
            <w:pPr>
              <w:ind w:left="450" w:hanging="450"/>
              <w:jc w:val="center"/>
            </w:pPr>
            <w:r>
              <w:t>W2013</w:t>
            </w:r>
          </w:p>
        </w:tc>
        <w:tc>
          <w:tcPr>
            <w:tcW w:w="2220" w:type="dxa"/>
          </w:tcPr>
          <w:p w14:paraId="3B01D28E"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50149</w:t>
            </w:r>
          </w:p>
        </w:tc>
        <w:tc>
          <w:tcPr>
            <w:tcW w:w="1050" w:type="dxa"/>
          </w:tcPr>
          <w:p w14:paraId="3B43B646"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9616</w:t>
            </w:r>
          </w:p>
        </w:tc>
        <w:tc>
          <w:tcPr>
            <w:tcW w:w="1920" w:type="dxa"/>
          </w:tcPr>
          <w:p w14:paraId="05CF148A"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c>
          <w:tcPr>
            <w:tcW w:w="1590" w:type="dxa"/>
          </w:tcPr>
          <w:p w14:paraId="57AC8293"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r>
      <w:tr w:rsidR="001A26D4" w14:paraId="0C0D523E" w14:textId="77777777" w:rsidTr="2F2C845E">
        <w:trPr>
          <w:jc w:val="center"/>
        </w:trPr>
        <w:tc>
          <w:tcPr>
            <w:cnfStyle w:val="001000000000" w:firstRow="0" w:lastRow="0" w:firstColumn="1" w:lastColumn="0" w:oddVBand="0" w:evenVBand="0" w:oddHBand="0" w:evenHBand="0" w:firstRowFirstColumn="0" w:firstRowLastColumn="0" w:lastRowFirstColumn="0" w:lastRowLastColumn="0"/>
            <w:tcW w:w="1542" w:type="dxa"/>
          </w:tcPr>
          <w:p w14:paraId="35F4B362" w14:textId="77777777" w:rsidR="001A26D4" w:rsidRDefault="001A26D4" w:rsidP="00DE5915">
            <w:pPr>
              <w:ind w:left="450" w:hanging="450"/>
              <w:jc w:val="center"/>
            </w:pPr>
            <w:r>
              <w:t>W2014</w:t>
            </w:r>
          </w:p>
        </w:tc>
        <w:tc>
          <w:tcPr>
            <w:tcW w:w="2220" w:type="dxa"/>
          </w:tcPr>
          <w:p w14:paraId="33557D94"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48229</w:t>
            </w:r>
          </w:p>
        </w:tc>
        <w:tc>
          <w:tcPr>
            <w:tcW w:w="1050" w:type="dxa"/>
          </w:tcPr>
          <w:p w14:paraId="342C1CA5"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12608</w:t>
            </w:r>
          </w:p>
        </w:tc>
        <w:tc>
          <w:tcPr>
            <w:tcW w:w="1920" w:type="dxa"/>
          </w:tcPr>
          <w:p w14:paraId="61543530"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w:t>
            </w:r>
          </w:p>
        </w:tc>
        <w:tc>
          <w:tcPr>
            <w:tcW w:w="1590" w:type="dxa"/>
          </w:tcPr>
          <w:p w14:paraId="1791B229"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w:t>
            </w:r>
          </w:p>
        </w:tc>
      </w:tr>
      <w:tr w:rsidR="001A26D4" w14:paraId="0B6859FB" w14:textId="77777777" w:rsidTr="2F2C84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2" w:type="dxa"/>
          </w:tcPr>
          <w:p w14:paraId="3DB049DD" w14:textId="77777777" w:rsidR="001A26D4" w:rsidRDefault="001A26D4" w:rsidP="00DE5915">
            <w:pPr>
              <w:ind w:left="450" w:hanging="450"/>
              <w:jc w:val="center"/>
            </w:pPr>
            <w:r>
              <w:t>W2015</w:t>
            </w:r>
          </w:p>
        </w:tc>
        <w:tc>
          <w:tcPr>
            <w:tcW w:w="2220" w:type="dxa"/>
          </w:tcPr>
          <w:p w14:paraId="6F6DD8CE"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48027</w:t>
            </w:r>
          </w:p>
        </w:tc>
        <w:tc>
          <w:tcPr>
            <w:tcW w:w="1050" w:type="dxa"/>
          </w:tcPr>
          <w:p w14:paraId="1B43FCC9"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13321</w:t>
            </w:r>
          </w:p>
        </w:tc>
        <w:tc>
          <w:tcPr>
            <w:tcW w:w="1920" w:type="dxa"/>
          </w:tcPr>
          <w:p w14:paraId="5E51526B"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c>
          <w:tcPr>
            <w:tcW w:w="1590" w:type="dxa"/>
          </w:tcPr>
          <w:p w14:paraId="1B7EEA85"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r>
      <w:tr w:rsidR="001A26D4" w14:paraId="51DAC5AF" w14:textId="77777777" w:rsidTr="2F2C845E">
        <w:trPr>
          <w:jc w:val="center"/>
        </w:trPr>
        <w:tc>
          <w:tcPr>
            <w:cnfStyle w:val="001000000000" w:firstRow="0" w:lastRow="0" w:firstColumn="1" w:lastColumn="0" w:oddVBand="0" w:evenVBand="0" w:oddHBand="0" w:evenHBand="0" w:firstRowFirstColumn="0" w:firstRowLastColumn="0" w:lastRowFirstColumn="0" w:lastRowLastColumn="0"/>
            <w:tcW w:w="1542" w:type="dxa"/>
          </w:tcPr>
          <w:p w14:paraId="0DB84E0B" w14:textId="77777777" w:rsidR="001A26D4" w:rsidRDefault="001A26D4" w:rsidP="00DE5915">
            <w:pPr>
              <w:ind w:left="450" w:hanging="450"/>
              <w:jc w:val="center"/>
            </w:pPr>
            <w:r>
              <w:t>W2016</w:t>
            </w:r>
          </w:p>
        </w:tc>
        <w:tc>
          <w:tcPr>
            <w:tcW w:w="2220" w:type="dxa"/>
          </w:tcPr>
          <w:p w14:paraId="2E48024C"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47683</w:t>
            </w:r>
          </w:p>
        </w:tc>
        <w:tc>
          <w:tcPr>
            <w:tcW w:w="1050" w:type="dxa"/>
          </w:tcPr>
          <w:p w14:paraId="20B729EA"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16104</w:t>
            </w:r>
          </w:p>
        </w:tc>
        <w:tc>
          <w:tcPr>
            <w:tcW w:w="1920" w:type="dxa"/>
          </w:tcPr>
          <w:p w14:paraId="7BDFEF03" w14:textId="2D8C2C54" w:rsidR="001A26D4" w:rsidRDefault="005426B7" w:rsidP="00DE5915">
            <w:pPr>
              <w:ind w:left="450" w:hanging="450"/>
              <w:jc w:val="center"/>
              <w:cnfStyle w:val="000000000000" w:firstRow="0" w:lastRow="0" w:firstColumn="0" w:lastColumn="0" w:oddVBand="0" w:evenVBand="0" w:oddHBand="0" w:evenHBand="0" w:firstRowFirstColumn="0" w:firstRowLastColumn="0" w:lastRowFirstColumn="0" w:lastRowLastColumn="0"/>
            </w:pPr>
            <w:r>
              <w:t xml:space="preserve">     </w:t>
            </w:r>
            <w:r w:rsidR="001A26D4">
              <w:t>892</w:t>
            </w:r>
          </w:p>
        </w:tc>
        <w:tc>
          <w:tcPr>
            <w:tcW w:w="1590" w:type="dxa"/>
          </w:tcPr>
          <w:p w14:paraId="538EE40F"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w:t>
            </w:r>
          </w:p>
        </w:tc>
      </w:tr>
      <w:tr w:rsidR="001A26D4" w14:paraId="677741D3" w14:textId="77777777" w:rsidTr="2F2C84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2" w:type="dxa"/>
          </w:tcPr>
          <w:p w14:paraId="5E05DBC7" w14:textId="77777777" w:rsidR="001A26D4" w:rsidRDefault="001A26D4" w:rsidP="00DE5915">
            <w:pPr>
              <w:ind w:left="450" w:hanging="450"/>
              <w:jc w:val="center"/>
            </w:pPr>
            <w:r>
              <w:t>W2017</w:t>
            </w:r>
          </w:p>
        </w:tc>
        <w:tc>
          <w:tcPr>
            <w:tcW w:w="2220" w:type="dxa"/>
          </w:tcPr>
          <w:p w14:paraId="79DC7A03"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48637</w:t>
            </w:r>
          </w:p>
        </w:tc>
        <w:tc>
          <w:tcPr>
            <w:tcW w:w="1050" w:type="dxa"/>
          </w:tcPr>
          <w:p w14:paraId="4912E9EE" w14:textId="012B3CDD" w:rsidR="001A26D4" w:rsidRDefault="00143287" w:rsidP="00DE5915">
            <w:pPr>
              <w:ind w:left="450" w:hanging="450"/>
              <w:jc w:val="center"/>
              <w:cnfStyle w:val="000000100000" w:firstRow="0" w:lastRow="0" w:firstColumn="0" w:lastColumn="0" w:oddVBand="0" w:evenVBand="0" w:oddHBand="1" w:evenHBand="0" w:firstRowFirstColumn="0" w:firstRowLastColumn="0" w:lastRowFirstColumn="0" w:lastRowLastColumn="0"/>
            </w:pPr>
            <w:r>
              <w:t xml:space="preserve">  </w:t>
            </w:r>
            <w:r w:rsidR="001A26D4">
              <w:t>8437</w:t>
            </w:r>
          </w:p>
        </w:tc>
        <w:tc>
          <w:tcPr>
            <w:tcW w:w="1920" w:type="dxa"/>
          </w:tcPr>
          <w:p w14:paraId="0DDFF246"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12978</w:t>
            </w:r>
          </w:p>
        </w:tc>
        <w:tc>
          <w:tcPr>
            <w:tcW w:w="1590" w:type="dxa"/>
          </w:tcPr>
          <w:p w14:paraId="742AE100"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r>
      <w:tr w:rsidR="001A26D4" w14:paraId="32AA73CC" w14:textId="77777777" w:rsidTr="2F2C845E">
        <w:trPr>
          <w:jc w:val="center"/>
        </w:trPr>
        <w:tc>
          <w:tcPr>
            <w:cnfStyle w:val="001000000000" w:firstRow="0" w:lastRow="0" w:firstColumn="1" w:lastColumn="0" w:oddVBand="0" w:evenVBand="0" w:oddHBand="0" w:evenHBand="0" w:firstRowFirstColumn="0" w:firstRowLastColumn="0" w:lastRowFirstColumn="0" w:lastRowLastColumn="0"/>
            <w:tcW w:w="1542" w:type="dxa"/>
          </w:tcPr>
          <w:p w14:paraId="372FE5FC" w14:textId="77777777" w:rsidR="001A26D4" w:rsidRDefault="001A26D4" w:rsidP="00DE5915">
            <w:pPr>
              <w:ind w:left="450" w:hanging="450"/>
              <w:jc w:val="center"/>
            </w:pPr>
            <w:r>
              <w:t>W2018</w:t>
            </w:r>
          </w:p>
        </w:tc>
        <w:tc>
          <w:tcPr>
            <w:tcW w:w="2220" w:type="dxa"/>
          </w:tcPr>
          <w:p w14:paraId="26B4B091"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45724</w:t>
            </w:r>
          </w:p>
        </w:tc>
        <w:tc>
          <w:tcPr>
            <w:tcW w:w="1050" w:type="dxa"/>
          </w:tcPr>
          <w:p w14:paraId="388E03D5"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13029</w:t>
            </w:r>
          </w:p>
        </w:tc>
        <w:tc>
          <w:tcPr>
            <w:tcW w:w="1920" w:type="dxa"/>
          </w:tcPr>
          <w:p w14:paraId="59BF602A"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17657</w:t>
            </w:r>
          </w:p>
        </w:tc>
        <w:tc>
          <w:tcPr>
            <w:tcW w:w="1590" w:type="dxa"/>
          </w:tcPr>
          <w:p w14:paraId="1938C346" w14:textId="77777777" w:rsidR="001A26D4" w:rsidRDefault="001A26D4" w:rsidP="00DE5915">
            <w:pPr>
              <w:ind w:left="450" w:hanging="450"/>
              <w:jc w:val="center"/>
              <w:cnfStyle w:val="000000000000" w:firstRow="0" w:lastRow="0" w:firstColumn="0" w:lastColumn="0" w:oddVBand="0" w:evenVBand="0" w:oddHBand="0" w:evenHBand="0" w:firstRowFirstColumn="0" w:firstRowLastColumn="0" w:lastRowFirstColumn="0" w:lastRowLastColumn="0"/>
            </w:pPr>
            <w:r>
              <w:t>--</w:t>
            </w:r>
          </w:p>
        </w:tc>
      </w:tr>
      <w:tr w:rsidR="001A26D4" w14:paraId="2A333468" w14:textId="77777777" w:rsidTr="2F2C84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2" w:type="dxa"/>
          </w:tcPr>
          <w:p w14:paraId="5F2F04AE" w14:textId="77777777" w:rsidR="001A26D4" w:rsidRDefault="001A26D4" w:rsidP="00DE5915">
            <w:pPr>
              <w:ind w:left="450" w:hanging="450"/>
              <w:jc w:val="center"/>
            </w:pPr>
            <w:r>
              <w:t>W2019</w:t>
            </w:r>
          </w:p>
        </w:tc>
        <w:tc>
          <w:tcPr>
            <w:tcW w:w="2220" w:type="dxa"/>
          </w:tcPr>
          <w:p w14:paraId="6BBB464B"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62554</w:t>
            </w:r>
          </w:p>
        </w:tc>
        <w:tc>
          <w:tcPr>
            <w:tcW w:w="1050" w:type="dxa"/>
          </w:tcPr>
          <w:p w14:paraId="24433342" w14:textId="398225D1" w:rsidR="001A26D4" w:rsidRDefault="00143287" w:rsidP="00F955A4">
            <w:pPr>
              <w:ind w:left="450" w:hanging="450"/>
              <w:jc w:val="center"/>
              <w:cnfStyle w:val="000000100000" w:firstRow="0" w:lastRow="0" w:firstColumn="0" w:lastColumn="0" w:oddVBand="0" w:evenVBand="0" w:oddHBand="1" w:evenHBand="0" w:firstRowFirstColumn="0" w:firstRowLastColumn="0" w:lastRowFirstColumn="0" w:lastRowLastColumn="0"/>
            </w:pPr>
            <w:r>
              <w:t xml:space="preserve">    </w:t>
            </w:r>
            <w:r w:rsidR="00F955A4">
              <w:t>231</w:t>
            </w:r>
          </w:p>
        </w:tc>
        <w:tc>
          <w:tcPr>
            <w:tcW w:w="1920" w:type="dxa"/>
          </w:tcPr>
          <w:p w14:paraId="0B0A6C09"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22733</w:t>
            </w:r>
          </w:p>
        </w:tc>
        <w:tc>
          <w:tcPr>
            <w:tcW w:w="1590" w:type="dxa"/>
          </w:tcPr>
          <w:p w14:paraId="2B416788"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r>
      <w:tr w:rsidR="001A26D4" w14:paraId="74BC7894" w14:textId="77777777" w:rsidTr="2F2C845E">
        <w:trPr>
          <w:jc w:val="center"/>
        </w:trPr>
        <w:tc>
          <w:tcPr>
            <w:cnfStyle w:val="001000000000" w:firstRow="0" w:lastRow="0" w:firstColumn="1" w:lastColumn="0" w:oddVBand="0" w:evenVBand="0" w:oddHBand="0" w:evenHBand="0" w:firstRowFirstColumn="0" w:firstRowLastColumn="0" w:lastRowFirstColumn="0" w:lastRowLastColumn="0"/>
            <w:tcW w:w="1542" w:type="dxa"/>
          </w:tcPr>
          <w:p w14:paraId="11DF9FD4" w14:textId="77777777" w:rsidR="001A26D4" w:rsidRDefault="001A26D4" w:rsidP="00DE5915">
            <w:pPr>
              <w:ind w:left="450" w:hanging="450"/>
              <w:jc w:val="center"/>
            </w:pPr>
            <w:r>
              <w:t>*F2019</w:t>
            </w:r>
          </w:p>
        </w:tc>
        <w:tc>
          <w:tcPr>
            <w:tcW w:w="2220" w:type="dxa"/>
          </w:tcPr>
          <w:p w14:paraId="713AC431" w14:textId="019B7ED0" w:rsidR="001A26D4" w:rsidRDefault="002C07BA" w:rsidP="1DA98C41">
            <w:pPr>
              <w:ind w:left="450" w:hanging="450"/>
              <w:jc w:val="center"/>
              <w:cnfStyle w:val="000000000000" w:firstRow="0" w:lastRow="0" w:firstColumn="0" w:lastColumn="0" w:oddVBand="0" w:evenVBand="0" w:oddHBand="0" w:evenHBand="0" w:firstRowFirstColumn="0" w:firstRowLastColumn="0" w:lastRowFirstColumn="0" w:lastRowLastColumn="0"/>
            </w:pPr>
            <w:r>
              <w:t xml:space="preserve"> </w:t>
            </w:r>
            <w:r w:rsidR="1959575F">
              <w:t>65841</w:t>
            </w:r>
          </w:p>
        </w:tc>
        <w:tc>
          <w:tcPr>
            <w:tcW w:w="1050" w:type="dxa"/>
          </w:tcPr>
          <w:p w14:paraId="61DC7F88" w14:textId="028D5AD3" w:rsidR="001A26D4" w:rsidRDefault="00143287" w:rsidP="00F955A4">
            <w:pPr>
              <w:ind w:left="450" w:hanging="450"/>
              <w:jc w:val="center"/>
              <w:cnfStyle w:val="000000000000" w:firstRow="0" w:lastRow="0" w:firstColumn="0" w:lastColumn="0" w:oddVBand="0" w:evenVBand="0" w:oddHBand="0" w:evenHBand="0" w:firstRowFirstColumn="0" w:firstRowLastColumn="0" w:lastRowFirstColumn="0" w:lastRowLastColumn="0"/>
            </w:pPr>
            <w:r>
              <w:t xml:space="preserve">   </w:t>
            </w:r>
            <w:r w:rsidR="00F955A4">
              <w:t>451</w:t>
            </w:r>
          </w:p>
        </w:tc>
        <w:tc>
          <w:tcPr>
            <w:tcW w:w="1920" w:type="dxa"/>
          </w:tcPr>
          <w:p w14:paraId="2E0D863A" w14:textId="5F277C2D" w:rsidR="001A26D4" w:rsidRDefault="005426B7" w:rsidP="00DE5915">
            <w:pPr>
              <w:ind w:left="450" w:hanging="450"/>
              <w:jc w:val="center"/>
              <w:cnfStyle w:val="000000000000" w:firstRow="0" w:lastRow="0" w:firstColumn="0" w:lastColumn="0" w:oddVBand="0" w:evenVBand="0" w:oddHBand="0" w:evenHBand="0" w:firstRowFirstColumn="0" w:firstRowLastColumn="0" w:lastRowFirstColumn="0" w:lastRowLastColumn="0"/>
            </w:pPr>
            <w:r>
              <w:t xml:space="preserve">  </w:t>
            </w:r>
            <w:r w:rsidR="002C07BA">
              <w:t>1373</w:t>
            </w:r>
          </w:p>
        </w:tc>
        <w:tc>
          <w:tcPr>
            <w:tcW w:w="1590" w:type="dxa"/>
          </w:tcPr>
          <w:p w14:paraId="03F324F4" w14:textId="77777777" w:rsidR="001A26D4" w:rsidRDefault="002C07BA" w:rsidP="00DE5915">
            <w:pPr>
              <w:ind w:left="450" w:hanging="450"/>
              <w:jc w:val="center"/>
              <w:cnfStyle w:val="000000000000" w:firstRow="0" w:lastRow="0" w:firstColumn="0" w:lastColumn="0" w:oddVBand="0" w:evenVBand="0" w:oddHBand="0" w:evenHBand="0" w:firstRowFirstColumn="0" w:firstRowLastColumn="0" w:lastRowFirstColumn="0" w:lastRowLastColumn="0"/>
            </w:pPr>
            <w:r>
              <w:t>28417</w:t>
            </w:r>
          </w:p>
        </w:tc>
      </w:tr>
      <w:tr w:rsidR="001A26D4" w14:paraId="3EBD6CCD" w14:textId="77777777" w:rsidTr="2F2C84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2" w:type="dxa"/>
          </w:tcPr>
          <w:p w14:paraId="7F1F6B78" w14:textId="77777777" w:rsidR="001A26D4" w:rsidRDefault="001A26D4" w:rsidP="00DE5915">
            <w:pPr>
              <w:ind w:left="450" w:hanging="450"/>
              <w:jc w:val="center"/>
              <w:rPr>
                <w:b w:val="0"/>
                <w:bCs w:val="0"/>
                <w:caps w:val="0"/>
              </w:rPr>
            </w:pPr>
            <w:r>
              <w:t>W2020</w:t>
            </w:r>
          </w:p>
          <w:p w14:paraId="2E544323" w14:textId="76C2E566" w:rsidR="00EE0288" w:rsidRDefault="00EE0288" w:rsidP="00DE5915">
            <w:pPr>
              <w:ind w:left="450" w:hanging="450"/>
              <w:jc w:val="center"/>
            </w:pPr>
            <w:r>
              <w:t>W2021</w:t>
            </w:r>
          </w:p>
        </w:tc>
        <w:tc>
          <w:tcPr>
            <w:tcW w:w="2220" w:type="dxa"/>
          </w:tcPr>
          <w:p w14:paraId="4A8156F6"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c>
          <w:tcPr>
            <w:tcW w:w="1050" w:type="dxa"/>
          </w:tcPr>
          <w:p w14:paraId="3560221C" w14:textId="5FDE52A0" w:rsidR="001A26D4" w:rsidRDefault="00143287" w:rsidP="00143287">
            <w:pPr>
              <w:ind w:left="450" w:hanging="450"/>
              <w:jc w:val="center"/>
              <w:cnfStyle w:val="000000100000" w:firstRow="0" w:lastRow="0" w:firstColumn="0" w:lastColumn="0" w:oddVBand="0" w:evenVBand="0" w:oddHBand="1" w:evenHBand="0" w:firstRowFirstColumn="0" w:firstRowLastColumn="0" w:lastRowFirstColumn="0" w:lastRowLastColumn="0"/>
            </w:pPr>
            <w:r>
              <w:t xml:space="preserve">   571</w:t>
            </w:r>
          </w:p>
        </w:tc>
        <w:tc>
          <w:tcPr>
            <w:tcW w:w="1920" w:type="dxa"/>
          </w:tcPr>
          <w:p w14:paraId="62260BD1" w14:textId="77777777" w:rsidR="001A26D4" w:rsidRDefault="001A26D4" w:rsidP="00DE5915">
            <w:pPr>
              <w:ind w:left="450" w:hanging="450"/>
              <w:jc w:val="center"/>
              <w:cnfStyle w:val="000000100000" w:firstRow="0" w:lastRow="0" w:firstColumn="0" w:lastColumn="0" w:oddVBand="0" w:evenVBand="0" w:oddHBand="1" w:evenHBand="0" w:firstRowFirstColumn="0" w:firstRowLastColumn="0" w:lastRowFirstColumn="0" w:lastRowLastColumn="0"/>
            </w:pPr>
            <w:r>
              <w:t>--</w:t>
            </w:r>
          </w:p>
        </w:tc>
        <w:tc>
          <w:tcPr>
            <w:tcW w:w="1590" w:type="dxa"/>
          </w:tcPr>
          <w:p w14:paraId="71CC168F" w14:textId="77777777" w:rsidR="001A26D4" w:rsidRDefault="003318D5" w:rsidP="00DE5915">
            <w:pPr>
              <w:ind w:left="450" w:hanging="450"/>
              <w:jc w:val="center"/>
              <w:cnfStyle w:val="000000100000" w:firstRow="0" w:lastRow="0" w:firstColumn="0" w:lastColumn="0" w:oddVBand="0" w:evenVBand="0" w:oddHBand="1" w:evenHBand="0" w:firstRowFirstColumn="0" w:firstRowLastColumn="0" w:lastRowFirstColumn="0" w:lastRowLastColumn="0"/>
            </w:pPr>
            <w:r>
              <w:t>60180</w:t>
            </w:r>
          </w:p>
          <w:p w14:paraId="36893D00" w14:textId="36B95AC1" w:rsidR="00EE0288" w:rsidRDefault="00EE0288" w:rsidP="00DE5915">
            <w:pPr>
              <w:ind w:left="450" w:hanging="450"/>
              <w:jc w:val="center"/>
              <w:cnfStyle w:val="000000100000" w:firstRow="0" w:lastRow="0" w:firstColumn="0" w:lastColumn="0" w:oddVBand="0" w:evenVBand="0" w:oddHBand="1" w:evenHBand="0" w:firstRowFirstColumn="0" w:firstRowLastColumn="0" w:lastRowFirstColumn="0" w:lastRowLastColumn="0"/>
            </w:pPr>
            <w:r>
              <w:t>65203</w:t>
            </w:r>
          </w:p>
        </w:tc>
      </w:tr>
    </w:tbl>
    <w:p w14:paraId="562C75D1" w14:textId="77777777" w:rsidR="00065C6B" w:rsidRDefault="00065C6B" w:rsidP="00EA0626">
      <w:pPr>
        <w:spacing w:after="0" w:line="240" w:lineRule="auto"/>
        <w:jc w:val="center"/>
        <w:rPr>
          <w:rFonts w:ascii="Calibri" w:eastAsia="Times New Roman" w:hAnsi="Calibri" w:cs="Calibri"/>
          <w:b/>
          <w:color w:val="000000"/>
          <w:sz w:val="24"/>
          <w:szCs w:val="24"/>
        </w:rPr>
      </w:pPr>
    </w:p>
    <w:sectPr w:rsidR="00065C6B" w:rsidSect="00071F4E">
      <w:headerReference w:type="default" r:id="rId8"/>
      <w:footerReference w:type="default" r:id="rId9"/>
      <w:pgSz w:w="12240" w:h="15840"/>
      <w:pgMar w:top="180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8E03E" w14:textId="77777777" w:rsidR="009126F4" w:rsidRDefault="009126F4" w:rsidP="009126F4">
      <w:pPr>
        <w:spacing w:after="0" w:line="240" w:lineRule="auto"/>
      </w:pPr>
      <w:r>
        <w:separator/>
      </w:r>
    </w:p>
  </w:endnote>
  <w:endnote w:type="continuationSeparator" w:id="0">
    <w:p w14:paraId="4B5B1E2E" w14:textId="77777777" w:rsidR="009126F4" w:rsidRDefault="009126F4" w:rsidP="009126F4">
      <w:pPr>
        <w:spacing w:after="0" w:line="240" w:lineRule="auto"/>
      </w:pPr>
      <w:r>
        <w:continuationSeparator/>
      </w:r>
    </w:p>
  </w:endnote>
  <w:endnote w:type="continuationNotice" w:id="1">
    <w:p w14:paraId="3D923ED4" w14:textId="77777777" w:rsidR="0077180A" w:rsidRDefault="00771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9180" w14:textId="77777777" w:rsidR="009126F4" w:rsidRDefault="009126F4" w:rsidP="009126F4">
    <w:pPr>
      <w:pStyle w:val="Footer"/>
      <w:jc w:val="center"/>
      <w:rPr>
        <w:rFonts w:ascii="Times New Roman" w:hAnsi="Times New Roman" w:cs="Times New Roman"/>
        <w:color w:val="385623" w:themeColor="accent6" w:themeShade="80"/>
        <w:sz w:val="24"/>
        <w:szCs w:val="24"/>
      </w:rPr>
    </w:pPr>
    <w:r w:rsidRPr="00CF3511">
      <w:rPr>
        <w:rFonts w:ascii="Times New Roman" w:hAnsi="Times New Roman" w:cs="Times New Roman"/>
        <w:color w:val="385623" w:themeColor="accent6" w:themeShade="80"/>
        <w:sz w:val="24"/>
        <w:szCs w:val="24"/>
      </w:rPr>
      <w:t xml:space="preserve">Student Evaluation of Teaching (SET), </w:t>
    </w:r>
    <w:hyperlink r:id="rId1" w:history="1">
      <w:r w:rsidRPr="00CF3511">
        <w:rPr>
          <w:rStyle w:val="Hyperlink"/>
          <w:rFonts w:ascii="Times New Roman" w:hAnsi="Times New Roman" w:cs="Times New Roman"/>
          <w:color w:val="023160" w:themeColor="hyperlink" w:themeShade="80"/>
          <w:sz w:val="24"/>
          <w:szCs w:val="24"/>
        </w:rPr>
        <w:t>set@wayne.edu</w:t>
      </w:r>
    </w:hyperlink>
    <w:r w:rsidRPr="00CF3511">
      <w:rPr>
        <w:rFonts w:ascii="Times New Roman" w:hAnsi="Times New Roman" w:cs="Times New Roman"/>
        <w:color w:val="385623" w:themeColor="accent6" w:themeShade="80"/>
        <w:sz w:val="24"/>
        <w:szCs w:val="24"/>
      </w:rPr>
      <w:t>, 313.577.2777</w:t>
    </w:r>
  </w:p>
  <w:p w14:paraId="430B713C" w14:textId="14CDFCA0" w:rsidR="00012701" w:rsidRDefault="00641F1C" w:rsidP="00012701">
    <w:pPr>
      <w:pStyle w:val="Footer"/>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12/21</w:t>
    </w:r>
  </w:p>
  <w:p w14:paraId="664355AD" w14:textId="77777777" w:rsidR="005727C2" w:rsidRPr="00CF3511" w:rsidRDefault="005727C2" w:rsidP="0001270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3253" w14:textId="77777777" w:rsidR="009126F4" w:rsidRDefault="009126F4" w:rsidP="009126F4">
      <w:pPr>
        <w:spacing w:after="0" w:line="240" w:lineRule="auto"/>
      </w:pPr>
      <w:r>
        <w:separator/>
      </w:r>
    </w:p>
  </w:footnote>
  <w:footnote w:type="continuationSeparator" w:id="0">
    <w:p w14:paraId="2C849FB1" w14:textId="77777777" w:rsidR="009126F4" w:rsidRDefault="009126F4" w:rsidP="009126F4">
      <w:pPr>
        <w:spacing w:after="0" w:line="240" w:lineRule="auto"/>
      </w:pPr>
      <w:r>
        <w:continuationSeparator/>
      </w:r>
    </w:p>
  </w:footnote>
  <w:footnote w:type="continuationNotice" w:id="1">
    <w:p w14:paraId="63620070" w14:textId="77777777" w:rsidR="0077180A" w:rsidRDefault="00771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5116" w14:textId="77777777" w:rsidR="009126F4" w:rsidRDefault="2F2C845E">
    <w:pPr>
      <w:pStyle w:val="Header"/>
    </w:pPr>
    <w:r>
      <w:rPr>
        <w:noProof/>
      </w:rPr>
      <w:drawing>
        <wp:inline distT="0" distB="0" distL="0" distR="0" wp14:anchorId="1FA80D22" wp14:editId="0198C8AB">
          <wp:extent cx="3070860" cy="714375"/>
          <wp:effectExtent l="0" t="0" r="0" b="9525"/>
          <wp:docPr id="1304989587"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3070860" cy="714375"/>
                  </a:xfrm>
                  <a:prstGeom prst="rect">
                    <a:avLst/>
                  </a:prstGeom>
                </pic:spPr>
              </pic:pic>
            </a:graphicData>
          </a:graphic>
        </wp:inline>
      </w:drawing>
    </w:r>
  </w:p>
  <w:p w14:paraId="7DF4E37C" w14:textId="77777777" w:rsidR="009126F4" w:rsidRDefault="0091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5F57"/>
    <w:multiLevelType w:val="hybridMultilevel"/>
    <w:tmpl w:val="8E724C40"/>
    <w:lvl w:ilvl="0" w:tplc="C4EAE4FA">
      <w:start w:val="1"/>
      <w:numFmt w:val="bullet"/>
      <w:lvlText w:val=""/>
      <w:lvlJc w:val="left"/>
      <w:pPr>
        <w:ind w:left="720" w:hanging="360"/>
      </w:pPr>
      <w:rPr>
        <w:rFonts w:ascii="Symbol" w:hAnsi="Symbol" w:hint="default"/>
      </w:rPr>
    </w:lvl>
    <w:lvl w:ilvl="1" w:tplc="D2B60DFA">
      <w:start w:val="1"/>
      <w:numFmt w:val="bullet"/>
      <w:lvlText w:val="o"/>
      <w:lvlJc w:val="left"/>
      <w:pPr>
        <w:ind w:left="1440" w:hanging="360"/>
      </w:pPr>
      <w:rPr>
        <w:rFonts w:ascii="Courier New" w:hAnsi="Courier New" w:hint="default"/>
      </w:rPr>
    </w:lvl>
    <w:lvl w:ilvl="2" w:tplc="A3986AAC">
      <w:start w:val="1"/>
      <w:numFmt w:val="bullet"/>
      <w:lvlText w:val=""/>
      <w:lvlJc w:val="left"/>
      <w:pPr>
        <w:ind w:left="2160" w:hanging="360"/>
      </w:pPr>
      <w:rPr>
        <w:rFonts w:ascii="Wingdings" w:hAnsi="Wingdings" w:hint="default"/>
      </w:rPr>
    </w:lvl>
    <w:lvl w:ilvl="3" w:tplc="B8BED810">
      <w:start w:val="1"/>
      <w:numFmt w:val="bullet"/>
      <w:lvlText w:val=""/>
      <w:lvlJc w:val="left"/>
      <w:pPr>
        <w:ind w:left="2880" w:hanging="360"/>
      </w:pPr>
      <w:rPr>
        <w:rFonts w:ascii="Symbol" w:hAnsi="Symbol" w:hint="default"/>
      </w:rPr>
    </w:lvl>
    <w:lvl w:ilvl="4" w:tplc="8F44955E">
      <w:start w:val="1"/>
      <w:numFmt w:val="bullet"/>
      <w:lvlText w:val="o"/>
      <w:lvlJc w:val="left"/>
      <w:pPr>
        <w:ind w:left="3600" w:hanging="360"/>
      </w:pPr>
      <w:rPr>
        <w:rFonts w:ascii="Courier New" w:hAnsi="Courier New" w:hint="default"/>
      </w:rPr>
    </w:lvl>
    <w:lvl w:ilvl="5" w:tplc="D940FE06">
      <w:start w:val="1"/>
      <w:numFmt w:val="bullet"/>
      <w:lvlText w:val=""/>
      <w:lvlJc w:val="left"/>
      <w:pPr>
        <w:ind w:left="4320" w:hanging="360"/>
      </w:pPr>
      <w:rPr>
        <w:rFonts w:ascii="Wingdings" w:hAnsi="Wingdings" w:hint="default"/>
      </w:rPr>
    </w:lvl>
    <w:lvl w:ilvl="6" w:tplc="B040F932">
      <w:start w:val="1"/>
      <w:numFmt w:val="bullet"/>
      <w:lvlText w:val=""/>
      <w:lvlJc w:val="left"/>
      <w:pPr>
        <w:ind w:left="5040" w:hanging="360"/>
      </w:pPr>
      <w:rPr>
        <w:rFonts w:ascii="Symbol" w:hAnsi="Symbol" w:hint="default"/>
      </w:rPr>
    </w:lvl>
    <w:lvl w:ilvl="7" w:tplc="7C64A76E">
      <w:start w:val="1"/>
      <w:numFmt w:val="bullet"/>
      <w:lvlText w:val="o"/>
      <w:lvlJc w:val="left"/>
      <w:pPr>
        <w:ind w:left="5760" w:hanging="360"/>
      </w:pPr>
      <w:rPr>
        <w:rFonts w:ascii="Courier New" w:hAnsi="Courier New" w:hint="default"/>
      </w:rPr>
    </w:lvl>
    <w:lvl w:ilvl="8" w:tplc="AC82761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01"/>
    <w:rsid w:val="0000152E"/>
    <w:rsid w:val="00012701"/>
    <w:rsid w:val="00020728"/>
    <w:rsid w:val="000302FD"/>
    <w:rsid w:val="00056E8B"/>
    <w:rsid w:val="00063B87"/>
    <w:rsid w:val="00065C6B"/>
    <w:rsid w:val="000667FC"/>
    <w:rsid w:val="00070423"/>
    <w:rsid w:val="00071174"/>
    <w:rsid w:val="00071F4E"/>
    <w:rsid w:val="00072542"/>
    <w:rsid w:val="000C00AB"/>
    <w:rsid w:val="000C5717"/>
    <w:rsid w:val="00113181"/>
    <w:rsid w:val="001363B7"/>
    <w:rsid w:val="00143287"/>
    <w:rsid w:val="00162371"/>
    <w:rsid w:val="0016450F"/>
    <w:rsid w:val="00187E35"/>
    <w:rsid w:val="001964F9"/>
    <w:rsid w:val="001A26D4"/>
    <w:rsid w:val="001B0A81"/>
    <w:rsid w:val="001D38AC"/>
    <w:rsid w:val="001F6913"/>
    <w:rsid w:val="0020664C"/>
    <w:rsid w:val="00213D08"/>
    <w:rsid w:val="002453F3"/>
    <w:rsid w:val="002678B9"/>
    <w:rsid w:val="00273561"/>
    <w:rsid w:val="00286234"/>
    <w:rsid w:val="002A1F10"/>
    <w:rsid w:val="002B2556"/>
    <w:rsid w:val="002C0769"/>
    <w:rsid w:val="002C07BA"/>
    <w:rsid w:val="002D1A66"/>
    <w:rsid w:val="002E194C"/>
    <w:rsid w:val="002F36B4"/>
    <w:rsid w:val="00305196"/>
    <w:rsid w:val="00312AD4"/>
    <w:rsid w:val="003239CF"/>
    <w:rsid w:val="00330C0A"/>
    <w:rsid w:val="003318D5"/>
    <w:rsid w:val="003D14F5"/>
    <w:rsid w:val="003D3D1B"/>
    <w:rsid w:val="003D7A4B"/>
    <w:rsid w:val="003D7D68"/>
    <w:rsid w:val="004153E5"/>
    <w:rsid w:val="004230D2"/>
    <w:rsid w:val="004766AA"/>
    <w:rsid w:val="004806B3"/>
    <w:rsid w:val="004D1915"/>
    <w:rsid w:val="004E2E7F"/>
    <w:rsid w:val="004E7231"/>
    <w:rsid w:val="004F363A"/>
    <w:rsid w:val="004F45BE"/>
    <w:rsid w:val="00502D5E"/>
    <w:rsid w:val="00504F17"/>
    <w:rsid w:val="005135CA"/>
    <w:rsid w:val="00535495"/>
    <w:rsid w:val="005426B7"/>
    <w:rsid w:val="00545148"/>
    <w:rsid w:val="00547350"/>
    <w:rsid w:val="005727C2"/>
    <w:rsid w:val="0059393E"/>
    <w:rsid w:val="0059435B"/>
    <w:rsid w:val="005B3BCD"/>
    <w:rsid w:val="005B7B1E"/>
    <w:rsid w:val="005E7DDA"/>
    <w:rsid w:val="005F72B8"/>
    <w:rsid w:val="00612E0F"/>
    <w:rsid w:val="00613328"/>
    <w:rsid w:val="0061750B"/>
    <w:rsid w:val="0063468E"/>
    <w:rsid w:val="0063718E"/>
    <w:rsid w:val="00641F1C"/>
    <w:rsid w:val="0064358E"/>
    <w:rsid w:val="00654623"/>
    <w:rsid w:val="006A4731"/>
    <w:rsid w:val="006A4DBF"/>
    <w:rsid w:val="006E11FA"/>
    <w:rsid w:val="006E2F08"/>
    <w:rsid w:val="006E7F31"/>
    <w:rsid w:val="006F3948"/>
    <w:rsid w:val="00716EA8"/>
    <w:rsid w:val="00721826"/>
    <w:rsid w:val="00760F65"/>
    <w:rsid w:val="0077180A"/>
    <w:rsid w:val="0077494F"/>
    <w:rsid w:val="007B6DC3"/>
    <w:rsid w:val="007C4034"/>
    <w:rsid w:val="007C6E99"/>
    <w:rsid w:val="007C74BF"/>
    <w:rsid w:val="007D6EF3"/>
    <w:rsid w:val="007F1A16"/>
    <w:rsid w:val="00800B44"/>
    <w:rsid w:val="0080304D"/>
    <w:rsid w:val="00840ED0"/>
    <w:rsid w:val="0084576E"/>
    <w:rsid w:val="008468BA"/>
    <w:rsid w:val="008701CB"/>
    <w:rsid w:val="00881FE0"/>
    <w:rsid w:val="008935A6"/>
    <w:rsid w:val="008B1390"/>
    <w:rsid w:val="008C0485"/>
    <w:rsid w:val="008C05CA"/>
    <w:rsid w:val="008C5757"/>
    <w:rsid w:val="008D1285"/>
    <w:rsid w:val="008D1F21"/>
    <w:rsid w:val="008E2226"/>
    <w:rsid w:val="008E410A"/>
    <w:rsid w:val="008F41DF"/>
    <w:rsid w:val="0091154A"/>
    <w:rsid w:val="009126F4"/>
    <w:rsid w:val="009166A1"/>
    <w:rsid w:val="00926AC0"/>
    <w:rsid w:val="00966DDD"/>
    <w:rsid w:val="00985EC7"/>
    <w:rsid w:val="00987CEF"/>
    <w:rsid w:val="009A679F"/>
    <w:rsid w:val="009B6FE9"/>
    <w:rsid w:val="009C1874"/>
    <w:rsid w:val="009C37B7"/>
    <w:rsid w:val="009D05C1"/>
    <w:rsid w:val="009F7FF0"/>
    <w:rsid w:val="00A541DF"/>
    <w:rsid w:val="00A97841"/>
    <w:rsid w:val="00AA44AB"/>
    <w:rsid w:val="00AE5316"/>
    <w:rsid w:val="00B00716"/>
    <w:rsid w:val="00B1039C"/>
    <w:rsid w:val="00B327A3"/>
    <w:rsid w:val="00B415FD"/>
    <w:rsid w:val="00B51746"/>
    <w:rsid w:val="00B70065"/>
    <w:rsid w:val="00B95F64"/>
    <w:rsid w:val="00BA4045"/>
    <w:rsid w:val="00BA7887"/>
    <w:rsid w:val="00BB58FC"/>
    <w:rsid w:val="00BC43D7"/>
    <w:rsid w:val="00BC5653"/>
    <w:rsid w:val="00BC78DF"/>
    <w:rsid w:val="00BD5695"/>
    <w:rsid w:val="00BF4332"/>
    <w:rsid w:val="00BF5601"/>
    <w:rsid w:val="00C46316"/>
    <w:rsid w:val="00C52FA0"/>
    <w:rsid w:val="00C644F3"/>
    <w:rsid w:val="00C70792"/>
    <w:rsid w:val="00C86BC0"/>
    <w:rsid w:val="00C93798"/>
    <w:rsid w:val="00CB21D7"/>
    <w:rsid w:val="00CC353D"/>
    <w:rsid w:val="00CD3FA6"/>
    <w:rsid w:val="00CF0E01"/>
    <w:rsid w:val="00CF3511"/>
    <w:rsid w:val="00D034A4"/>
    <w:rsid w:val="00D1072C"/>
    <w:rsid w:val="00D43FC2"/>
    <w:rsid w:val="00D47753"/>
    <w:rsid w:val="00D4B9D1"/>
    <w:rsid w:val="00D51D22"/>
    <w:rsid w:val="00D65292"/>
    <w:rsid w:val="00D67D44"/>
    <w:rsid w:val="00D822E4"/>
    <w:rsid w:val="00DC1909"/>
    <w:rsid w:val="00DF07EB"/>
    <w:rsid w:val="00DF2060"/>
    <w:rsid w:val="00DF24F0"/>
    <w:rsid w:val="00E04F64"/>
    <w:rsid w:val="00E05B00"/>
    <w:rsid w:val="00E207E8"/>
    <w:rsid w:val="00E55962"/>
    <w:rsid w:val="00E61EA6"/>
    <w:rsid w:val="00E80E66"/>
    <w:rsid w:val="00E834C0"/>
    <w:rsid w:val="00E928E0"/>
    <w:rsid w:val="00E957E1"/>
    <w:rsid w:val="00EA0626"/>
    <w:rsid w:val="00ED02B2"/>
    <w:rsid w:val="00ED41A8"/>
    <w:rsid w:val="00EE0288"/>
    <w:rsid w:val="00EE5D4E"/>
    <w:rsid w:val="00F03D12"/>
    <w:rsid w:val="00F8178D"/>
    <w:rsid w:val="00F955A4"/>
    <w:rsid w:val="00FC48C7"/>
    <w:rsid w:val="00FD0827"/>
    <w:rsid w:val="01219A4F"/>
    <w:rsid w:val="01B64EB8"/>
    <w:rsid w:val="025BAA0C"/>
    <w:rsid w:val="04669125"/>
    <w:rsid w:val="04D166C8"/>
    <w:rsid w:val="08344A6B"/>
    <w:rsid w:val="0937557A"/>
    <w:rsid w:val="0BF47F9E"/>
    <w:rsid w:val="0C307F9A"/>
    <w:rsid w:val="0CF0130E"/>
    <w:rsid w:val="0D47B38E"/>
    <w:rsid w:val="0D57D804"/>
    <w:rsid w:val="0D7ED5D8"/>
    <w:rsid w:val="0EAE1866"/>
    <w:rsid w:val="0EED0757"/>
    <w:rsid w:val="0F0A2EBB"/>
    <w:rsid w:val="100380C0"/>
    <w:rsid w:val="1076DE0F"/>
    <w:rsid w:val="10F48CB2"/>
    <w:rsid w:val="10FC37F4"/>
    <w:rsid w:val="111F2648"/>
    <w:rsid w:val="12A320B9"/>
    <w:rsid w:val="12A4E733"/>
    <w:rsid w:val="12D9D250"/>
    <w:rsid w:val="12E91ADE"/>
    <w:rsid w:val="136C01A3"/>
    <w:rsid w:val="136D54F1"/>
    <w:rsid w:val="145CC843"/>
    <w:rsid w:val="158E3072"/>
    <w:rsid w:val="1792166E"/>
    <w:rsid w:val="17A5C0E8"/>
    <w:rsid w:val="17C3754A"/>
    <w:rsid w:val="180ABC4A"/>
    <w:rsid w:val="19303404"/>
    <w:rsid w:val="1959575F"/>
    <w:rsid w:val="196C80A0"/>
    <w:rsid w:val="1980FA40"/>
    <w:rsid w:val="1D1D1550"/>
    <w:rsid w:val="1DA98C41"/>
    <w:rsid w:val="1DF0B1C3"/>
    <w:rsid w:val="1E8C8F9C"/>
    <w:rsid w:val="211FA658"/>
    <w:rsid w:val="22A3AB54"/>
    <w:rsid w:val="22EC4143"/>
    <w:rsid w:val="24806DE3"/>
    <w:rsid w:val="25E99502"/>
    <w:rsid w:val="27F15B9F"/>
    <w:rsid w:val="2838619D"/>
    <w:rsid w:val="2927A9E0"/>
    <w:rsid w:val="2B24CB75"/>
    <w:rsid w:val="2C2285E8"/>
    <w:rsid w:val="2CCA18CB"/>
    <w:rsid w:val="2D6946B2"/>
    <w:rsid w:val="2D6BC46B"/>
    <w:rsid w:val="2E0078A0"/>
    <w:rsid w:val="2EA0D113"/>
    <w:rsid w:val="2EC2C48F"/>
    <w:rsid w:val="2F2C845E"/>
    <w:rsid w:val="303C0B0B"/>
    <w:rsid w:val="3088D18E"/>
    <w:rsid w:val="3132DF01"/>
    <w:rsid w:val="317E88F3"/>
    <w:rsid w:val="318D98BB"/>
    <w:rsid w:val="32B21539"/>
    <w:rsid w:val="343F5EE2"/>
    <w:rsid w:val="348E52CA"/>
    <w:rsid w:val="35A81323"/>
    <w:rsid w:val="360F3D47"/>
    <w:rsid w:val="36C31ED5"/>
    <w:rsid w:val="36CAF8AF"/>
    <w:rsid w:val="3728699B"/>
    <w:rsid w:val="375A9013"/>
    <w:rsid w:val="3862E924"/>
    <w:rsid w:val="39D784AF"/>
    <w:rsid w:val="3B4772AD"/>
    <w:rsid w:val="3F425FFF"/>
    <w:rsid w:val="3F7495C5"/>
    <w:rsid w:val="3FA92E2F"/>
    <w:rsid w:val="401E07B5"/>
    <w:rsid w:val="41465BFE"/>
    <w:rsid w:val="41EDBFCD"/>
    <w:rsid w:val="425F32B0"/>
    <w:rsid w:val="42FA0A12"/>
    <w:rsid w:val="44F0F8D4"/>
    <w:rsid w:val="47937C62"/>
    <w:rsid w:val="482CA983"/>
    <w:rsid w:val="48D0B297"/>
    <w:rsid w:val="4A334241"/>
    <w:rsid w:val="4A7F9A70"/>
    <w:rsid w:val="4B1C230D"/>
    <w:rsid w:val="4CAC3CAB"/>
    <w:rsid w:val="4D7D8DB1"/>
    <w:rsid w:val="4DDBBA20"/>
    <w:rsid w:val="4DFF94FC"/>
    <w:rsid w:val="4FCD51C4"/>
    <w:rsid w:val="5063C021"/>
    <w:rsid w:val="5088222E"/>
    <w:rsid w:val="50B4A35D"/>
    <w:rsid w:val="510FF1A5"/>
    <w:rsid w:val="51B9ABA4"/>
    <w:rsid w:val="51F800CF"/>
    <w:rsid w:val="523B7F0E"/>
    <w:rsid w:val="53D876B3"/>
    <w:rsid w:val="543E3FD7"/>
    <w:rsid w:val="54FD8E41"/>
    <w:rsid w:val="555DA301"/>
    <w:rsid w:val="562B3D8D"/>
    <w:rsid w:val="56B91B34"/>
    <w:rsid w:val="5A4F3251"/>
    <w:rsid w:val="5BD81F6E"/>
    <w:rsid w:val="5BE25676"/>
    <w:rsid w:val="5CB864D1"/>
    <w:rsid w:val="5D1799CA"/>
    <w:rsid w:val="5E31649F"/>
    <w:rsid w:val="5EDB0B27"/>
    <w:rsid w:val="601874E6"/>
    <w:rsid w:val="6259F505"/>
    <w:rsid w:val="62879189"/>
    <w:rsid w:val="63B8B463"/>
    <w:rsid w:val="641F8883"/>
    <w:rsid w:val="64FAF3AC"/>
    <w:rsid w:val="65357321"/>
    <w:rsid w:val="66C23AE5"/>
    <w:rsid w:val="672200A4"/>
    <w:rsid w:val="672F9E43"/>
    <w:rsid w:val="68A26ABD"/>
    <w:rsid w:val="69E4020F"/>
    <w:rsid w:val="6AD22E18"/>
    <w:rsid w:val="6C920D68"/>
    <w:rsid w:val="6CFA7552"/>
    <w:rsid w:val="70B1EBA8"/>
    <w:rsid w:val="7105ADC4"/>
    <w:rsid w:val="710C5E94"/>
    <w:rsid w:val="7281F110"/>
    <w:rsid w:val="732547AF"/>
    <w:rsid w:val="738F6DFA"/>
    <w:rsid w:val="74A04910"/>
    <w:rsid w:val="75C711B5"/>
    <w:rsid w:val="75DCC9CF"/>
    <w:rsid w:val="79A8BF51"/>
    <w:rsid w:val="79CC98CF"/>
    <w:rsid w:val="79CC9F98"/>
    <w:rsid w:val="79D3F6A2"/>
    <w:rsid w:val="7B4D8CC8"/>
    <w:rsid w:val="7BFD717E"/>
    <w:rsid w:val="7D2DF484"/>
    <w:rsid w:val="7DB7AE88"/>
    <w:rsid w:val="7EFC8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0F75"/>
  <w15:chartTrackingRefBased/>
  <w15:docId w15:val="{82080D1D-C06E-48C4-8B59-3364161D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E01"/>
  </w:style>
  <w:style w:type="paragraph" w:styleId="Heading1">
    <w:name w:val="heading 1"/>
    <w:basedOn w:val="Normal"/>
    <w:next w:val="Normal"/>
    <w:link w:val="Heading1Char"/>
    <w:uiPriority w:val="9"/>
    <w:qFormat/>
    <w:rsid w:val="00A978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4C"/>
    <w:rPr>
      <w:rFonts w:ascii="Segoe UI" w:hAnsi="Segoe UI" w:cs="Segoe UI"/>
      <w:sz w:val="18"/>
      <w:szCs w:val="18"/>
    </w:rPr>
  </w:style>
  <w:style w:type="paragraph" w:styleId="Title">
    <w:name w:val="Title"/>
    <w:basedOn w:val="Normal"/>
    <w:next w:val="Normal"/>
    <w:link w:val="TitleChar"/>
    <w:uiPriority w:val="10"/>
    <w:qFormat/>
    <w:rsid w:val="008D12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2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D12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1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6F4"/>
  </w:style>
  <w:style w:type="paragraph" w:styleId="Footer">
    <w:name w:val="footer"/>
    <w:basedOn w:val="Normal"/>
    <w:link w:val="FooterChar"/>
    <w:uiPriority w:val="99"/>
    <w:unhideWhenUsed/>
    <w:rsid w:val="0091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6F4"/>
  </w:style>
  <w:style w:type="character" w:styleId="Hyperlink">
    <w:name w:val="Hyperlink"/>
    <w:basedOn w:val="DefaultParagraphFont"/>
    <w:uiPriority w:val="99"/>
    <w:unhideWhenUsed/>
    <w:rsid w:val="009126F4"/>
    <w:rPr>
      <w:color w:val="0563C1" w:themeColor="hyperlink"/>
      <w:u w:val="single"/>
    </w:rPr>
  </w:style>
  <w:style w:type="table" w:styleId="TableGrid">
    <w:name w:val="Table Grid"/>
    <w:basedOn w:val="TableNormal"/>
    <w:uiPriority w:val="39"/>
    <w:rsid w:val="001A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7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657">
      <w:bodyDiv w:val="1"/>
      <w:marLeft w:val="0"/>
      <w:marRight w:val="0"/>
      <w:marTop w:val="0"/>
      <w:marBottom w:val="0"/>
      <w:divBdr>
        <w:top w:val="none" w:sz="0" w:space="0" w:color="auto"/>
        <w:left w:val="none" w:sz="0" w:space="0" w:color="auto"/>
        <w:bottom w:val="none" w:sz="0" w:space="0" w:color="auto"/>
        <w:right w:val="none" w:sz="0" w:space="0" w:color="auto"/>
      </w:divBdr>
    </w:div>
    <w:div w:id="107235782">
      <w:bodyDiv w:val="1"/>
      <w:marLeft w:val="0"/>
      <w:marRight w:val="0"/>
      <w:marTop w:val="0"/>
      <w:marBottom w:val="0"/>
      <w:divBdr>
        <w:top w:val="none" w:sz="0" w:space="0" w:color="auto"/>
        <w:left w:val="none" w:sz="0" w:space="0" w:color="auto"/>
        <w:bottom w:val="none" w:sz="0" w:space="0" w:color="auto"/>
        <w:right w:val="none" w:sz="0" w:space="0" w:color="auto"/>
      </w:divBdr>
    </w:div>
    <w:div w:id="190460678">
      <w:bodyDiv w:val="1"/>
      <w:marLeft w:val="0"/>
      <w:marRight w:val="0"/>
      <w:marTop w:val="0"/>
      <w:marBottom w:val="0"/>
      <w:divBdr>
        <w:top w:val="none" w:sz="0" w:space="0" w:color="auto"/>
        <w:left w:val="none" w:sz="0" w:space="0" w:color="auto"/>
        <w:bottom w:val="none" w:sz="0" w:space="0" w:color="auto"/>
        <w:right w:val="none" w:sz="0" w:space="0" w:color="auto"/>
      </w:divBdr>
    </w:div>
    <w:div w:id="553583197">
      <w:bodyDiv w:val="1"/>
      <w:marLeft w:val="0"/>
      <w:marRight w:val="0"/>
      <w:marTop w:val="0"/>
      <w:marBottom w:val="0"/>
      <w:divBdr>
        <w:top w:val="none" w:sz="0" w:space="0" w:color="auto"/>
        <w:left w:val="none" w:sz="0" w:space="0" w:color="auto"/>
        <w:bottom w:val="none" w:sz="0" w:space="0" w:color="auto"/>
        <w:right w:val="none" w:sz="0" w:space="0" w:color="auto"/>
      </w:divBdr>
    </w:div>
    <w:div w:id="706417482">
      <w:bodyDiv w:val="1"/>
      <w:marLeft w:val="0"/>
      <w:marRight w:val="0"/>
      <w:marTop w:val="0"/>
      <w:marBottom w:val="0"/>
      <w:divBdr>
        <w:top w:val="none" w:sz="0" w:space="0" w:color="auto"/>
        <w:left w:val="none" w:sz="0" w:space="0" w:color="auto"/>
        <w:bottom w:val="none" w:sz="0" w:space="0" w:color="auto"/>
        <w:right w:val="none" w:sz="0" w:space="0" w:color="auto"/>
      </w:divBdr>
    </w:div>
    <w:div w:id="861939279">
      <w:bodyDiv w:val="1"/>
      <w:marLeft w:val="0"/>
      <w:marRight w:val="0"/>
      <w:marTop w:val="0"/>
      <w:marBottom w:val="0"/>
      <w:divBdr>
        <w:top w:val="none" w:sz="0" w:space="0" w:color="auto"/>
        <w:left w:val="none" w:sz="0" w:space="0" w:color="auto"/>
        <w:bottom w:val="none" w:sz="0" w:space="0" w:color="auto"/>
        <w:right w:val="none" w:sz="0" w:space="0" w:color="auto"/>
      </w:divBdr>
    </w:div>
    <w:div w:id="1134520422">
      <w:bodyDiv w:val="1"/>
      <w:marLeft w:val="0"/>
      <w:marRight w:val="0"/>
      <w:marTop w:val="0"/>
      <w:marBottom w:val="0"/>
      <w:divBdr>
        <w:top w:val="none" w:sz="0" w:space="0" w:color="auto"/>
        <w:left w:val="none" w:sz="0" w:space="0" w:color="auto"/>
        <w:bottom w:val="none" w:sz="0" w:space="0" w:color="auto"/>
        <w:right w:val="none" w:sz="0" w:space="0" w:color="auto"/>
      </w:divBdr>
    </w:div>
    <w:div w:id="17227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t@wayn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ad.wayne.edu\Users\bb4642\Documents\SET%20Information\SET%20Documentation%20Folder\SET%20Response%20Rates_Barchart\reni_SET%20response%20rate%20graph_6.26.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 Rates Over the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763948316749797"/>
          <c:y val="0.16416111447607512"/>
          <c:w val="0.83741431838705049"/>
          <c:h val="0.64865703560310772"/>
        </c:manualLayout>
      </c:layout>
      <c:barChart>
        <c:barDir val="col"/>
        <c:grouping val="clustered"/>
        <c:varyColors val="0"/>
        <c:ser>
          <c:idx val="0"/>
          <c:order val="0"/>
          <c:tx>
            <c:strRef>
              <c:f>Sheet3!$B$1</c:f>
              <c:strCache>
                <c:ptCount val="1"/>
                <c:pt idx="0">
                  <c:v>Paper Based</c:v>
                </c:pt>
              </c:strCache>
            </c:strRef>
          </c:tx>
          <c:spPr>
            <a:solidFill>
              <a:schemeClr val="accent6"/>
            </a:solidFill>
            <a:ln>
              <a:noFill/>
            </a:ln>
            <a:effectLst/>
          </c:spPr>
          <c:invertIfNegative val="0"/>
          <c:dLbls>
            <c:dLbl>
              <c:idx val="0"/>
              <c:tx>
                <c:rich>
                  <a:bodyPr/>
                  <a:lstStyle/>
                  <a:p>
                    <a:fld id="{1D510033-A0AF-4C1F-8C6F-AA87A5616B13}"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C6-469A-A35E-833F28446EE4}"/>
                </c:ext>
              </c:extLst>
            </c:dLbl>
            <c:dLbl>
              <c:idx val="1"/>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C6-469A-A35E-833F28446EE4}"/>
                </c:ext>
              </c:extLst>
            </c:dLbl>
            <c:dLbl>
              <c:idx val="2"/>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C6-469A-A35E-833F28446EE4}"/>
                </c:ext>
              </c:extLst>
            </c:dLbl>
            <c:dLbl>
              <c:idx val="3"/>
              <c:tx>
                <c:rich>
                  <a:bodyPr/>
                  <a:lstStyle/>
                  <a:p>
                    <a:fld id="{804DF266-E4F4-4F42-BC2C-0300EED5C67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DC6-469A-A35E-833F28446EE4}"/>
                </c:ext>
              </c:extLst>
            </c:dLbl>
            <c:dLbl>
              <c:idx val="4"/>
              <c:tx>
                <c:rich>
                  <a:bodyPr/>
                  <a:lstStyle/>
                  <a:p>
                    <a:fld id="{9B4D7DCD-EC71-4EBE-9ED1-8FB4BEC34F0D}"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C6-469A-A35E-833F28446EE4}"/>
                </c:ext>
              </c:extLst>
            </c:dLbl>
            <c:dLbl>
              <c:idx val="5"/>
              <c:tx>
                <c:rich>
                  <a:bodyPr/>
                  <a:lstStyle/>
                  <a:p>
                    <a:fld id="{015090F7-2F5B-4CB1-A26F-05B0653612E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DC6-469A-A35E-833F28446EE4}"/>
                </c:ext>
              </c:extLst>
            </c:dLbl>
            <c:dLbl>
              <c:idx val="6"/>
              <c:tx>
                <c:rich>
                  <a:bodyPr/>
                  <a:lstStyle/>
                  <a:p>
                    <a:r>
                      <a:rPr lang="en-US"/>
                      <a:t>     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E7-42CD-8368-3321DCCB81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Sheet3!$A$2:$A$12</c:f>
              <c:strCache>
                <c:ptCount val="9"/>
                <c:pt idx="0">
                  <c:v>W14</c:v>
                </c:pt>
                <c:pt idx="1">
                  <c:v>W15</c:v>
                </c:pt>
                <c:pt idx="2">
                  <c:v>W16</c:v>
                </c:pt>
                <c:pt idx="3">
                  <c:v>W17</c:v>
                </c:pt>
                <c:pt idx="4">
                  <c:v>W18</c:v>
                </c:pt>
                <c:pt idx="5">
                  <c:v>W19</c:v>
                </c:pt>
                <c:pt idx="6">
                  <c:v>*F19</c:v>
                </c:pt>
                <c:pt idx="7">
                  <c:v>W20</c:v>
                </c:pt>
                <c:pt idx="8">
                  <c:v>W21</c:v>
                </c:pt>
              </c:strCache>
            </c:strRef>
          </c:cat>
          <c:val>
            <c:numRef>
              <c:f>Sheet3!$B$2:$B$12</c:f>
              <c:numCache>
                <c:formatCode>General</c:formatCode>
                <c:ptCount val="11"/>
                <c:pt idx="0">
                  <c:v>70</c:v>
                </c:pt>
                <c:pt idx="1">
                  <c:v>70</c:v>
                </c:pt>
                <c:pt idx="2">
                  <c:v>70</c:v>
                </c:pt>
                <c:pt idx="3">
                  <c:v>71</c:v>
                </c:pt>
                <c:pt idx="4">
                  <c:v>72</c:v>
                </c:pt>
                <c:pt idx="5">
                  <c:v>70</c:v>
                </c:pt>
                <c:pt idx="6">
                  <c:v>71</c:v>
                </c:pt>
              </c:numCache>
            </c:numRef>
          </c:val>
          <c:extLst>
            <c:ext xmlns:c16="http://schemas.microsoft.com/office/drawing/2014/chart" uri="{C3380CC4-5D6E-409C-BE32-E72D297353CC}">
              <c16:uniqueId val="{00000009-3DC6-469A-A35E-833F28446EE4}"/>
            </c:ext>
          </c:extLst>
        </c:ser>
        <c:ser>
          <c:idx val="1"/>
          <c:order val="1"/>
          <c:tx>
            <c:strRef>
              <c:f>Sheet3!$C$1</c:f>
              <c:strCache>
                <c:ptCount val="1"/>
                <c:pt idx="0">
                  <c:v>TE&amp;RS Online</c:v>
                </c:pt>
              </c:strCache>
            </c:strRef>
          </c:tx>
          <c:spPr>
            <a:solidFill>
              <a:srgbClr val="7030A0"/>
            </a:solidFill>
            <a:ln>
              <a:noFill/>
            </a:ln>
            <a:effectLst/>
          </c:spPr>
          <c:invertIfNegative val="0"/>
          <c:dLbls>
            <c:dLbl>
              <c:idx val="0"/>
              <c:tx>
                <c:rich>
                  <a:bodyPr/>
                  <a:lstStyle/>
                  <a:p>
                    <a:r>
                      <a:rPr lang="en-US"/>
                      <a:t>  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DC6-469A-A35E-833F28446EE4}"/>
                </c:ext>
              </c:extLst>
            </c:dLbl>
            <c:dLbl>
              <c:idx val="1"/>
              <c:tx>
                <c:rich>
                  <a:bodyPr/>
                  <a:lstStyle/>
                  <a:p>
                    <a:r>
                      <a:rPr lang="en-US"/>
                      <a:t>   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DC6-469A-A35E-833F28446EE4}"/>
                </c:ext>
              </c:extLst>
            </c:dLbl>
            <c:dLbl>
              <c:idx val="6"/>
              <c:tx>
                <c:rich>
                  <a:bodyPr/>
                  <a:lstStyle/>
                  <a:p>
                    <a:r>
                      <a:rPr lang="en-US"/>
                      <a:t>41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3D-458E-95A7-D305CDE8024F}"/>
                </c:ext>
              </c:extLst>
            </c:dLbl>
            <c:dLbl>
              <c:idx val="7"/>
              <c:tx>
                <c:rich>
                  <a:bodyPr/>
                  <a:lstStyle/>
                  <a:p>
                    <a:fld id="{3FEA0FA9-8FF7-421B-AB50-A2E7D0F9532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F3D-458E-95A7-D305CDE802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Sheet3!$A$2:$A$12</c:f>
              <c:strCache>
                <c:ptCount val="9"/>
                <c:pt idx="0">
                  <c:v>W14</c:v>
                </c:pt>
                <c:pt idx="1">
                  <c:v>W15</c:v>
                </c:pt>
                <c:pt idx="2">
                  <c:v>W16</c:v>
                </c:pt>
                <c:pt idx="3">
                  <c:v>W17</c:v>
                </c:pt>
                <c:pt idx="4">
                  <c:v>W18</c:v>
                </c:pt>
                <c:pt idx="5">
                  <c:v>W19</c:v>
                </c:pt>
                <c:pt idx="6">
                  <c:v>*F19</c:v>
                </c:pt>
                <c:pt idx="7">
                  <c:v>W20</c:v>
                </c:pt>
                <c:pt idx="8">
                  <c:v>W21</c:v>
                </c:pt>
              </c:strCache>
            </c:strRef>
          </c:cat>
          <c:val>
            <c:numRef>
              <c:f>Sheet3!$C$2:$C$12</c:f>
              <c:numCache>
                <c:formatCode>General</c:formatCode>
                <c:ptCount val="11"/>
                <c:pt idx="0">
                  <c:v>26</c:v>
                </c:pt>
                <c:pt idx="1">
                  <c:v>39</c:v>
                </c:pt>
                <c:pt idx="6">
                  <c:v>41</c:v>
                </c:pt>
                <c:pt idx="7">
                  <c:v>31</c:v>
                </c:pt>
              </c:numCache>
            </c:numRef>
          </c:val>
          <c:extLst>
            <c:ext xmlns:c16="http://schemas.microsoft.com/office/drawing/2014/chart" uri="{C3380CC4-5D6E-409C-BE32-E72D297353CC}">
              <c16:uniqueId val="{0000000F-3DC6-469A-A35E-833F28446EE4}"/>
            </c:ext>
          </c:extLst>
        </c:ser>
        <c:ser>
          <c:idx val="2"/>
          <c:order val="2"/>
          <c:tx>
            <c:strRef>
              <c:f>Sheet3!$D$1</c:f>
              <c:strCache>
                <c:ptCount val="1"/>
                <c:pt idx="0">
                  <c:v>Qualtrics Online</c:v>
                </c:pt>
              </c:strCache>
            </c:strRef>
          </c:tx>
          <c:spPr>
            <a:solidFill>
              <a:schemeClr val="accent4"/>
            </a:solidFill>
            <a:ln>
              <a:noFill/>
            </a:ln>
            <a:effectLst/>
          </c:spPr>
          <c:invertIfNegative val="0"/>
          <c:dLbls>
            <c:dLbl>
              <c:idx val="2"/>
              <c:tx>
                <c:rich>
                  <a:bodyPr/>
                  <a:lstStyle/>
                  <a:p>
                    <a:fld id="{2FC78B86-DA74-41D8-8094-66FAA2A9162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3DC6-469A-A35E-833F28446EE4}"/>
                </c:ext>
              </c:extLst>
            </c:dLbl>
            <c:dLbl>
              <c:idx val="3"/>
              <c:tx>
                <c:rich>
                  <a:bodyPr/>
                  <a:lstStyle/>
                  <a:p>
                    <a:fld id="{7AB4A9AD-8C49-47DC-A900-EF9AB06DFDF4}"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DC6-469A-A35E-833F28446EE4}"/>
                </c:ext>
              </c:extLst>
            </c:dLbl>
            <c:dLbl>
              <c:idx val="4"/>
              <c:tx>
                <c:rich>
                  <a:bodyPr/>
                  <a:lstStyle/>
                  <a:p>
                    <a:fld id="{655B8042-0778-4606-B173-EEC968275397}"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3DC6-469A-A35E-833F28446EE4}"/>
                </c:ext>
              </c:extLst>
            </c:dLbl>
            <c:dLbl>
              <c:idx val="5"/>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DC6-469A-A35E-833F28446EE4}"/>
                </c:ext>
              </c:extLst>
            </c:dLbl>
            <c:dLbl>
              <c:idx val="6"/>
              <c:tx>
                <c:rich>
                  <a:bodyPr/>
                  <a:lstStyle/>
                  <a:p>
                    <a:fld id="{A284B14D-5D52-4C71-A336-FC5AA113B782}"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3D-458E-95A7-D305CDE802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Sheet3!$A$2:$A$12</c:f>
              <c:strCache>
                <c:ptCount val="9"/>
                <c:pt idx="0">
                  <c:v>W14</c:v>
                </c:pt>
                <c:pt idx="1">
                  <c:v>W15</c:v>
                </c:pt>
                <c:pt idx="2">
                  <c:v>W16</c:v>
                </c:pt>
                <c:pt idx="3">
                  <c:v>W17</c:v>
                </c:pt>
                <c:pt idx="4">
                  <c:v>W18</c:v>
                </c:pt>
                <c:pt idx="5">
                  <c:v>W19</c:v>
                </c:pt>
                <c:pt idx="6">
                  <c:v>*F19</c:v>
                </c:pt>
                <c:pt idx="7">
                  <c:v>W20</c:v>
                </c:pt>
                <c:pt idx="8">
                  <c:v>W21</c:v>
                </c:pt>
              </c:strCache>
            </c:strRef>
          </c:cat>
          <c:val>
            <c:numRef>
              <c:f>Sheet3!$D$2:$D$12</c:f>
              <c:numCache>
                <c:formatCode>General</c:formatCode>
                <c:ptCount val="11"/>
                <c:pt idx="2">
                  <c:v>41</c:v>
                </c:pt>
                <c:pt idx="3">
                  <c:v>35</c:v>
                </c:pt>
                <c:pt idx="4">
                  <c:v>38</c:v>
                </c:pt>
                <c:pt idx="5">
                  <c:v>36</c:v>
                </c:pt>
                <c:pt idx="6">
                  <c:v>47</c:v>
                </c:pt>
              </c:numCache>
            </c:numRef>
          </c:val>
          <c:extLst>
            <c:ext xmlns:c16="http://schemas.microsoft.com/office/drawing/2014/chart" uri="{C3380CC4-5D6E-409C-BE32-E72D297353CC}">
              <c16:uniqueId val="{00000014-3DC6-469A-A35E-833F28446EE4}"/>
            </c:ext>
          </c:extLst>
        </c:ser>
        <c:ser>
          <c:idx val="3"/>
          <c:order val="3"/>
          <c:tx>
            <c:strRef>
              <c:f>Sheet3!$E$1</c:f>
              <c:strCache>
                <c:ptCount val="1"/>
                <c:pt idx="0">
                  <c:v>Blue Online SET</c:v>
                </c:pt>
              </c:strCache>
            </c:strRef>
          </c:tx>
          <c:spPr>
            <a:solidFill>
              <a:schemeClr val="accent1"/>
            </a:solidFill>
            <a:ln>
              <a:noFill/>
            </a:ln>
            <a:effectLst/>
          </c:spPr>
          <c:invertIfNegative val="0"/>
          <c:dLbls>
            <c:dLbl>
              <c:idx val="6"/>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DC-457F-B35E-DDA58CFF88F7}"/>
                </c:ext>
              </c:extLst>
            </c:dLbl>
            <c:dLbl>
              <c:idx val="7"/>
              <c:tx>
                <c:rich>
                  <a:bodyPr/>
                  <a:lstStyle/>
                  <a:p>
                    <a:r>
                      <a:rPr lang="en-US"/>
                      <a:t>41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DC-457F-B35E-DDA58CFF8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Sheet3!$A$2:$A$12</c:f>
              <c:strCache>
                <c:ptCount val="9"/>
                <c:pt idx="0">
                  <c:v>W14</c:v>
                </c:pt>
                <c:pt idx="1">
                  <c:v>W15</c:v>
                </c:pt>
                <c:pt idx="2">
                  <c:v>W16</c:v>
                </c:pt>
                <c:pt idx="3">
                  <c:v>W17</c:v>
                </c:pt>
                <c:pt idx="4">
                  <c:v>W18</c:v>
                </c:pt>
                <c:pt idx="5">
                  <c:v>W19</c:v>
                </c:pt>
                <c:pt idx="6">
                  <c:v>*F19</c:v>
                </c:pt>
                <c:pt idx="7">
                  <c:v>W20</c:v>
                </c:pt>
                <c:pt idx="8">
                  <c:v>W21</c:v>
                </c:pt>
              </c:strCache>
            </c:strRef>
          </c:cat>
          <c:val>
            <c:numRef>
              <c:f>Sheet3!$E$2:$E$12</c:f>
              <c:numCache>
                <c:formatCode>General</c:formatCode>
                <c:ptCount val="11"/>
                <c:pt idx="6">
                  <c:v>72</c:v>
                </c:pt>
                <c:pt idx="7">
                  <c:v>41</c:v>
                </c:pt>
                <c:pt idx="8">
                  <c:v>51</c:v>
                </c:pt>
              </c:numCache>
            </c:numRef>
          </c:val>
          <c:extLst>
            <c:ext xmlns:c16="http://schemas.microsoft.com/office/drawing/2014/chart" uri="{C3380CC4-5D6E-409C-BE32-E72D297353CC}">
              <c16:uniqueId val="{00000002-1AEA-4373-A76E-A7325FDB997A}"/>
            </c:ext>
          </c:extLst>
        </c:ser>
        <c:dLbls>
          <c:dLblPos val="outEnd"/>
          <c:showLegendKey val="0"/>
          <c:showVal val="1"/>
          <c:showCatName val="0"/>
          <c:showSerName val="0"/>
          <c:showPercent val="0"/>
          <c:showBubbleSize val="0"/>
        </c:dLbls>
        <c:gapWidth val="219"/>
        <c:overlap val="-27"/>
        <c:axId val="447950272"/>
        <c:axId val="447950664"/>
      </c:barChart>
      <c:catAx>
        <c:axId val="44795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50664"/>
        <c:crossesAt val="0"/>
        <c:auto val="1"/>
        <c:lblAlgn val="ctr"/>
        <c:lblOffset val="100"/>
        <c:noMultiLvlLbl val="0"/>
      </c:catAx>
      <c:valAx>
        <c:axId val="44795066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Percent of Return</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5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 Gresham</dc:creator>
  <cp:keywords/>
  <dc:description/>
  <cp:lastModifiedBy>Reni Gresham</cp:lastModifiedBy>
  <cp:revision>6</cp:revision>
  <cp:lastPrinted>2019-10-16T15:40:00Z</cp:lastPrinted>
  <dcterms:created xsi:type="dcterms:W3CDTF">2021-12-07T20:35:00Z</dcterms:created>
  <dcterms:modified xsi:type="dcterms:W3CDTF">2021-12-10T16:50:00Z</dcterms:modified>
</cp:coreProperties>
</file>